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b/>
          <w:color w:val="1F2A44"/>
          <w:sz w:val="60"/>
        </w:rPr>
        <w:t>ÎNDRUMAR DE LABORATOR</w:t>
      </w:r>
    </w:p>
    <w:p>
      <w:pPr>
        <w:jc w:val="center"/>
      </w:pPr>
      <w:r>
        <w:rPr>
          <w:b/>
          <w:color w:val="2E74B5"/>
          <w:sz w:val="44"/>
        </w:rPr>
        <w:t>SISTEME ÎNCORPORATE</w:t>
      </w:r>
    </w:p>
    <w:p/>
    <w:p>
      <w:pPr>
        <w:jc w:val="center"/>
      </w:pPr>
      <w:r>
        <w:rPr>
          <w:color w:val="555555"/>
          <w:sz w:val="28"/>
        </w:rPr>
        <w:t>10 sesiuni de laborator × 1,5 ore</w:t>
        <w:br/>
        <w:t>Platformă: Raspberry Pi 5 + afișaj LCD</w:t>
      </w:r>
    </w:p>
    <w:p/>
    <w:p>
      <w:pPr>
        <w:jc w:val="center"/>
      </w:pPr>
      <w:r>
        <w:rPr>
          <w:i/>
          <w:color w:val="555555"/>
          <w:sz w:val="24"/>
        </w:rPr>
        <w:t>Însoțitor practic al manualului „Sisteme Încorporate"</w:t>
      </w:r>
    </w:p>
    <w:p>
      <w:r>
        <w:br w:type="page"/>
      </w:r>
    </w:p>
    <w:p>
      <w:pPr>
        <w:pStyle w:val="Heading1"/>
      </w:pPr>
      <w:r>
        <w:t>1. Introducere</w:t>
      </w:r>
    </w:p>
    <w:p>
      <w:pPr>
        <w:spacing w:after="120"/>
      </w:pPr>
      <w:r>
        <w:rPr>
          <w:b w:val="0"/>
          <w:i w:val="0"/>
          <w:sz w:val="22"/>
        </w:rPr>
        <w:t>Acest îndrumar propune 10 laboratoare independente, câte unul pentru fiecare capitol al manualului, fiecare organizat în jurul unui mini-proiect distinct și "graspable" — ceva ce studentul construiește, vede funcționând și poate duce mai departe, nu doar exerciții abstracte. În loc de un singur proiect care se extinde pe tot semestrul, fiecare sesiune are propriul obiectiv tangibil, propria temă de interes, dar toate folosesc aceeași platformă hardware de bază, astfel încât codul, montajele și deprinderile acumulate la un laborator sunt reutilizate și extinse la următoarele.</w:t>
      </w:r>
    </w:p>
    <w:p>
      <w:pPr>
        <w:spacing w:after="120"/>
      </w:pPr>
      <w:r>
        <w:rPr>
          <w:b w:val="0"/>
          <w:i w:val="0"/>
          <w:sz w:val="22"/>
        </w:rPr>
        <w:t>Platforma aleasă este Raspberry Pi 5 cu un afișaj LCD, conform configurației deja disponibile. Este important de precizat de la început o diferență esențială față de abordarea clasică bazată pe un microcontroler (ex. STM32): Raspberry Pi 5 este un calculator complet ("Single Board Computer") care rulează Linux, nu un microcontroler bare-metal. Aceasta schimbă modul în care unele concepte din carte se predau practic:</w:t>
      </w:r>
    </w:p>
    <w:p>
      <w:pPr>
        <w:pStyle w:val="ListBullet"/>
        <w:spacing w:after="60"/>
      </w:pPr>
      <w:r>
        <w:rPr>
          <w:sz w:val="22"/>
        </w:rPr>
        <w:t>Conceptele de arhitectură, ISA, întreruperi, planificare și optimizare software se transpun foarte bine — Pi 5 oferă acces real la registre de performanță, guvernatoare de frecvență (DVFS) și planificare POSIX în timp real.</w:t>
      </w:r>
    </w:p>
    <w:p>
      <w:pPr>
        <w:pStyle w:val="ListBullet"/>
        <w:spacing w:after="60"/>
      </w:pPr>
      <w:r>
        <w:rPr>
          <w:sz w:val="22"/>
        </w:rPr>
        <w:t>Conceptele de consum ultra-redus (moduri sleep la nivel de registru, autonomie pe baterie de luni de zile, energy harvesting care alimentează direct dispozitivul) nu se pot demonstra realist pe Pi 5 însuși, pentru că el consumă câțiva wați, nu câțiva microwați. Pentru aceste capitole (4, 5, 6, 9), laboratoarele folosesc Pi 5 ca instrument de măsură și analiză a energiei, iar Laboratorul 9 folosește Pi 5 ca hub de achiziție de date pentru un circuit de energy harvesting separat, de mică putere — nu ca dispozitiv alimentat din acel circuit. Această distincție este explicată onest în fiecare laborator relevant, ca parte din discuția cerută în raport.</w:t>
      </w:r>
    </w:p>
    <w:p>
      <w:pPr>
        <w:spacing w:after="120"/>
      </w:pPr>
      <w:r>
        <w:rPr>
          <w:b w:val="0"/>
          <w:i/>
          <w:sz w:val="22"/>
        </w:rPr>
        <w:t>Ipoteză privind afișajul LCD: îndrumarul presupune un mic afișaj SPI/I2C de tip ILI9341/ST7789 (2,4"–3,5"), tipic pentru laboratoare de sisteme încorporate, controlat din Python (librăria luma.lcd / Pillow) sau din C (spidev). Dacă afișajul disponibil este ecranul oficial Raspberry Pi Touch Display (conectat prin DSI/HDMI), pașii de inițializare din secțiunea 2 se înlocuiesc cu rulare directă pe desktop-ul grafic (Pygame/Tkinter în loc de luma.lcd) — restul structurii laboratorului rămâne identic.</w:t>
      </w:r>
    </w:p>
    <w:p>
      <w:r>
        <w:br w:type="page"/>
      </w:r>
    </w:p>
    <w:p>
      <w:pPr>
        <w:pStyle w:val="Heading1"/>
      </w:pPr>
      <w:r>
        <w:t>2. Configurație hardware și software</w:t>
      </w:r>
    </w:p>
    <w:p>
      <w:pPr>
        <w:pStyle w:val="Heading2"/>
      </w:pPr>
      <w:r>
        <w:t>2.1 Componente de bază (necesare la toate laboratoarele)</w:t>
      </w:r>
    </w:p>
    <w:p>
      <w:pPr>
        <w:pStyle w:val="ListBullet"/>
        <w:spacing w:after="60"/>
      </w:pPr>
      <w:r>
        <w:rPr>
          <w:sz w:val="22"/>
        </w:rPr>
        <w:t>Raspberry Pi 5 (4 GB sau 8 GB) + sursă de alimentare oficială USB-C 27 W</w:t>
      </w:r>
    </w:p>
    <w:p>
      <w:pPr>
        <w:pStyle w:val="ListBullet"/>
        <w:spacing w:after="60"/>
      </w:pPr>
      <w:r>
        <w:rPr>
          <w:sz w:val="22"/>
        </w:rPr>
        <w:t>Card microSD ≥ 32 GB, Raspberry Pi OS (64-bit, Bookworm sau mai nou)</w:t>
      </w:r>
    </w:p>
    <w:p>
      <w:pPr>
        <w:pStyle w:val="ListBullet"/>
        <w:spacing w:after="60"/>
      </w:pPr>
      <w:r>
        <w:rPr>
          <w:sz w:val="22"/>
        </w:rPr>
        <w:t>Afișaj LCD SPI/I2C (vezi ipoteza din secțiunea 1)</w:t>
      </w:r>
    </w:p>
    <w:p>
      <w:pPr>
        <w:pStyle w:val="ListBullet"/>
        <w:spacing w:after="60"/>
      </w:pPr>
      <w:r>
        <w:rPr>
          <w:sz w:val="22"/>
        </w:rPr>
        <w:t>Breadboard, fire jumper, set LED-uri, rezistențe, 2–3 butoane</w:t>
      </w:r>
    </w:p>
    <w:p>
      <w:pPr>
        <w:pStyle w:val="Heading2"/>
      </w:pPr>
      <w:r>
        <w:t>2.2 Componente suplimentare (folosite punctual, ieftine)</w:t>
      </w:r>
    </w:p>
    <w:tbl>
      <w:tblPr>
        <w:tblStyle w:val="LightGrid-Accent1"/>
        <w:tblW w:type="auto" w:w="0"/>
        <w:jc w:val="center"/>
        <w:tblLayout w:type="fixed"/>
        <w:tblLook w:firstColumn="1" w:firstRow="1" w:lastColumn="0" w:lastRow="0" w:noHBand="0" w:noVBand="1" w:val="04A0"/>
      </w:tblPr>
      <w:tblGrid>
        <w:gridCol w:w="4819"/>
        <w:gridCol w:w="2551"/>
        <w:gridCol w:w="1814"/>
      </w:tblGrid>
      <w:tr>
        <w:tc>
          <w:tcPr>
            <w:tcW w:type="dxa" w:w="4819"/>
            <w:shd w:val="clear" w:color="auto" w:fill="2E74B5"/>
          </w:tcPr>
          <w:p>
            <w:r>
              <w:rPr>
                <w:b/>
                <w:color w:val="FFFFFF"/>
              </w:rPr>
              <w:t>Componentă</w:t>
            </w:r>
          </w:p>
        </w:tc>
        <w:tc>
          <w:tcPr>
            <w:tcW w:type="dxa" w:w="2551"/>
            <w:shd w:val="clear" w:color="auto" w:fill="2E74B5"/>
          </w:tcPr>
          <w:p>
            <w:r>
              <w:rPr>
                <w:b/>
                <w:color w:val="FFFFFF"/>
              </w:rPr>
              <w:t>Folosită la</w:t>
            </w:r>
          </w:p>
        </w:tc>
        <w:tc>
          <w:tcPr>
            <w:tcW w:type="dxa" w:w="1814"/>
            <w:shd w:val="clear" w:color="auto" w:fill="2E74B5"/>
          </w:tcPr>
          <w:p>
            <w:r>
              <w:rPr>
                <w:b/>
                <w:color w:val="FFFFFF"/>
              </w:rPr>
              <w:t>Cost estimativ</w:t>
            </w:r>
          </w:p>
        </w:tc>
      </w:tr>
      <w:tr>
        <w:tc>
          <w:tcPr>
            <w:tcW w:type="dxa" w:w="4819"/>
          </w:tcPr>
          <w:p>
            <w:r>
              <w:t>Modul măsură putere USB-C (INA219 sau echivalent)</w:t>
            </w:r>
          </w:p>
        </w:tc>
        <w:tc>
          <w:tcPr>
            <w:tcW w:type="dxa" w:w="2551"/>
          </w:tcPr>
          <w:p>
            <w:r>
              <w:t>Lab 4, Lab 5</w:t>
            </w:r>
          </w:p>
        </w:tc>
        <w:tc>
          <w:tcPr>
            <w:tcW w:type="dxa" w:w="1814"/>
          </w:tcPr>
          <w:p>
            <w:r>
              <w:t>~8–12 €</w:t>
            </w:r>
          </w:p>
        </w:tc>
      </w:tr>
      <w:tr>
        <w:tc>
          <w:tcPr>
            <w:tcW w:type="dxa" w:w="4819"/>
          </w:tcPr>
          <w:p>
            <w:r>
              <w:t>Modul ADC I2C ADS1115</w:t>
            </w:r>
          </w:p>
        </w:tc>
        <w:tc>
          <w:tcPr>
            <w:tcW w:type="dxa" w:w="2551"/>
          </w:tcPr>
          <w:p>
            <w:r>
              <w:t>Lab 9 (opțional Lab 10)</w:t>
            </w:r>
          </w:p>
        </w:tc>
        <w:tc>
          <w:tcPr>
            <w:tcW w:type="dxa" w:w="1814"/>
          </w:tcPr>
          <w:p>
            <w:r>
              <w:t>~5 €</w:t>
            </w:r>
          </w:p>
        </w:tc>
      </w:tr>
      <w:tr>
        <w:tc>
          <w:tcPr>
            <w:tcW w:type="dxa" w:w="4819"/>
          </w:tcPr>
          <w:p>
            <w:r>
              <w:t>Panou solar mic + supercondensator</w:t>
            </w:r>
          </w:p>
        </w:tc>
        <w:tc>
          <w:tcPr>
            <w:tcW w:type="dxa" w:w="2551"/>
          </w:tcPr>
          <w:p>
            <w:r>
              <w:t>Lab 9</w:t>
            </w:r>
          </w:p>
        </w:tc>
        <w:tc>
          <w:tcPr>
            <w:tcW w:type="dxa" w:w="1814"/>
          </w:tcPr>
          <w:p>
            <w:r>
              <w:t>~10 €</w:t>
            </w:r>
          </w:p>
        </w:tc>
      </w:tr>
      <w:tr>
        <w:tc>
          <w:tcPr>
            <w:tcW w:type="dxa" w:w="4819"/>
          </w:tcPr>
          <w:p>
            <w:r>
              <w:t>Senzor I2C BME280 (temperatură/umiditate/presiune)</w:t>
            </w:r>
          </w:p>
        </w:tc>
        <w:tc>
          <w:tcPr>
            <w:tcW w:type="dxa" w:w="2551"/>
          </w:tcPr>
          <w:p>
            <w:r>
              <w:t>Lab 10</w:t>
            </w:r>
          </w:p>
        </w:tc>
        <w:tc>
          <w:tcPr>
            <w:tcW w:type="dxa" w:w="1814"/>
          </w:tcPr>
          <w:p>
            <w:r>
              <w:t>~6 €</w:t>
            </w:r>
          </w:p>
        </w:tc>
      </w:tr>
      <w:tr>
        <w:tc>
          <w:tcPr>
            <w:tcW w:type="dxa" w:w="4819"/>
          </w:tcPr>
          <w:p>
            <w:r>
              <w:t>Buzzer / LED suplimentar</w:t>
            </w:r>
          </w:p>
        </w:tc>
        <w:tc>
          <w:tcPr>
            <w:tcW w:type="dxa" w:w="2551"/>
          </w:tcPr>
          <w:p>
            <w:r>
              <w:t>Lab 10 (bonus)</w:t>
            </w:r>
          </w:p>
        </w:tc>
        <w:tc>
          <w:tcPr>
            <w:tcW w:type="dxa" w:w="1814"/>
          </w:tcPr>
          <w:p>
            <w:r>
              <w:t>~1 €</w:t>
            </w:r>
          </w:p>
        </w:tc>
      </w:tr>
    </w:tbl>
    <w:p>
      <w:pPr>
        <w:spacing w:after="120"/>
      </w:pPr>
      <w:r>
        <w:rPr>
          <w:b w:val="0"/>
          <w:i/>
          <w:color w:val="555555"/>
          <w:sz w:val="20"/>
        </w:rPr>
        <w:t>Toate componentele din acest tabel sunt opționale în sensul că, dacă nu sunt disponibile, laboratorul respectiv poate fi parcurs cu date simulate/generate software (se precizează explicit în fiecare laborator unde se aplică acest fallback).</w:t>
      </w:r>
    </w:p>
    <w:p>
      <w:pPr>
        <w:pStyle w:val="Heading2"/>
      </w:pPr>
      <w:r>
        <w:t>2.3 Stivă software</w:t>
      </w:r>
    </w:p>
    <w:p>
      <w:pPr>
        <w:pStyle w:val="ListBullet"/>
        <w:spacing w:after="60"/>
      </w:pPr>
      <w:r>
        <w:rPr>
          <w:sz w:val="22"/>
        </w:rPr>
        <w:t>Raspberry Pi OS 64-bit + gcc/g++, make, Python 3</w:t>
      </w:r>
    </w:p>
    <w:p>
      <w:pPr>
        <w:pStyle w:val="ListBullet"/>
        <w:spacing w:after="60"/>
      </w:pPr>
      <w:r>
        <w:rPr>
          <w:sz w:val="22"/>
        </w:rPr>
        <w:t>GPIO: gpiozero (backend lgpio) sau libgpiod — NU RPi.GPIO / wiringPi, incompatibile cu noul controler de I/O RP1 de pe Pi 5</w:t>
      </w:r>
    </w:p>
    <w:p>
      <w:pPr>
        <w:pStyle w:val="ListBullet"/>
        <w:spacing w:after="60"/>
      </w:pPr>
      <w:r>
        <w:rPr>
          <w:sz w:val="22"/>
        </w:rPr>
        <w:t>LCD: luma.lcd + Pillow (Python) sau spidev direct din C</w:t>
      </w:r>
    </w:p>
    <w:p>
      <w:pPr>
        <w:pStyle w:val="ListBullet"/>
        <w:spacing w:after="60"/>
      </w:pPr>
      <w:r>
        <w:rPr>
          <w:sz w:val="22"/>
        </w:rPr>
        <w:t>Măsurare performanță: perf, stress-ng, sysbench</w:t>
      </w:r>
    </w:p>
    <w:p>
      <w:pPr>
        <w:pStyle w:val="ListBullet"/>
        <w:spacing w:after="60"/>
      </w:pPr>
      <w:r>
        <w:rPr>
          <w:sz w:val="22"/>
        </w:rPr>
        <w:t>Timp real: pthread (POSIX threads), SCHED_FIFO/SCHED_RR</w:t>
      </w:r>
    </w:p>
    <w:p>
      <w:pPr>
        <w:pStyle w:val="ListBullet"/>
        <w:spacing w:after="60"/>
      </w:pPr>
      <w:r>
        <w:rPr>
          <w:sz w:val="22"/>
        </w:rPr>
        <w:t>IoT: mosquitto (broker MQTT local), paho-mqtt</w:t>
      </w:r>
    </w:p>
    <w:p>
      <w:r>
        <w:br w:type="page"/>
      </w:r>
    </w:p>
    <w:p>
      <w:pPr>
        <w:pStyle w:val="Heading1"/>
      </w:pPr>
      <w:r>
        <w:t>3. Format comun al laboratoarelor și evaluare</w:t>
      </w:r>
    </w:p>
    <w:p>
      <w:pPr>
        <w:spacing w:after="120"/>
      </w:pPr>
      <w:r>
        <w:rPr>
          <w:b w:val="0"/>
          <w:i w:val="0"/>
          <w:sz w:val="22"/>
        </w:rPr>
        <w:t>Fiecare laborator este structurat identic, pentru predictibilitate:</w:t>
      </w:r>
    </w:p>
    <w:p>
      <w:pPr>
        <w:spacing w:after="60"/>
        <w:ind w:left="357" w:hanging="357"/>
      </w:pPr>
      <w:r>
        <w:rPr>
          <w:sz w:val="22"/>
        </w:rPr>
        <w:t>1.</w:t>
        <w:tab/>
      </w:r>
      <w:r>
        <w:rPr>
          <w:sz w:val="22"/>
        </w:rPr>
        <w:t>Obiective — ce competențe/concepte se exersează</w:t>
      </w:r>
    </w:p>
    <w:p>
      <w:pPr>
        <w:spacing w:after="60"/>
        <w:ind w:left="357" w:hanging="357"/>
      </w:pPr>
      <w:r>
        <w:rPr>
          <w:sz w:val="22"/>
        </w:rPr>
        <w:t>2.</w:t>
        <w:tab/>
      </w:r>
      <w:r>
        <w:rPr>
          <w:sz w:val="22"/>
        </w:rPr>
        <w:t>Context teoretic — legătura directă cu capitolul din manual</w:t>
      </w:r>
    </w:p>
    <w:p>
      <w:pPr>
        <w:spacing w:after="60"/>
        <w:ind w:left="357" w:hanging="357"/>
      </w:pPr>
      <w:r>
        <w:rPr>
          <w:sz w:val="22"/>
        </w:rPr>
        <w:t>3.</w:t>
        <w:tab/>
      </w:r>
      <w:r>
        <w:rPr>
          <w:sz w:val="22"/>
        </w:rPr>
        <w:t>Materiale necesare</w:t>
      </w:r>
    </w:p>
    <w:p>
      <w:pPr>
        <w:spacing w:after="60"/>
        <w:ind w:left="357" w:hanging="357"/>
      </w:pPr>
      <w:r>
        <w:rPr>
          <w:sz w:val="22"/>
        </w:rPr>
        <w:t>4.</w:t>
        <w:tab/>
      </w:r>
      <w:r>
        <w:rPr>
          <w:sz w:val="22"/>
        </w:rPr>
        <w:t>Sarcini de lucru — pași concreți, în ordine</w:t>
      </w:r>
    </w:p>
    <w:p>
      <w:pPr>
        <w:spacing w:after="60"/>
        <w:ind w:left="357" w:hanging="357"/>
      </w:pPr>
      <w:r>
        <w:rPr>
          <w:sz w:val="22"/>
        </w:rPr>
        <w:t>5.</w:t>
        <w:tab/>
      </w:r>
      <w:r>
        <w:rPr>
          <w:sz w:val="22"/>
        </w:rPr>
        <w:t>Livrabile — ce se predă (cod, date, grafice, discuție scrisă)</w:t>
      </w:r>
    </w:p>
    <w:p>
      <w:pPr>
        <w:spacing w:after="60"/>
        <w:ind w:left="357" w:hanging="357"/>
      </w:pPr>
      <w:r>
        <w:rPr>
          <w:sz w:val="22"/>
        </w:rPr>
        <w:t>6.</w:t>
        <w:tab/>
      </w:r>
      <w:r>
        <w:rPr>
          <w:sz w:val="22"/>
        </w:rPr>
        <w:t>Criterii de evaluare</w:t>
      </w:r>
    </w:p>
    <w:p>
      <w:pPr>
        <w:spacing w:after="60"/>
        <w:ind w:left="357" w:hanging="357"/>
      </w:pPr>
      <w:r>
        <w:rPr>
          <w:sz w:val="22"/>
        </w:rPr>
        <w:t>7.</w:t>
        <w:tab/>
      </w:r>
      <w:r>
        <w:rPr>
          <w:sz w:val="22"/>
        </w:rPr>
        <w:t>Provocare bonus — extindere opțională, pentru punctaj suplimentar</w:t>
      </w:r>
    </w:p>
    <w:p>
      <w:pPr>
        <w:pStyle w:val="Heading2"/>
      </w:pPr>
      <w:r>
        <w:t>3.1 Criterii generale de notare (pe laborator)</w:t>
      </w:r>
    </w:p>
    <w:tbl>
      <w:tblPr>
        <w:tblStyle w:val="LightGrid-Accent1"/>
        <w:tblW w:type="auto" w:w="0"/>
        <w:tblLayout w:type="fixed"/>
        <w:tblLook w:firstColumn="1" w:firstRow="1" w:lastColumn="0" w:lastRow="0" w:noHBand="0" w:noVBand="1" w:val="04A0"/>
      </w:tblPr>
      <w:tblGrid>
        <w:gridCol w:w="7370"/>
        <w:gridCol w:w="1814"/>
      </w:tblGrid>
      <w:tr>
        <w:tc>
          <w:tcPr>
            <w:tcW w:type="dxa" w:w="7370"/>
            <w:shd w:val="clear" w:color="auto" w:fill="2E74B5"/>
          </w:tcPr>
          <w:p>
            <w:r>
              <w:rPr>
                <w:b/>
                <w:color w:val="FFFFFF"/>
              </w:rPr>
              <w:t>Componentă</w:t>
            </w:r>
          </w:p>
        </w:tc>
        <w:tc>
          <w:tcPr>
            <w:tcW w:type="dxa" w:w="1814"/>
            <w:shd w:val="clear" w:color="auto" w:fill="2E74B5"/>
          </w:tcPr>
          <w:p>
            <w:r>
              <w:rPr>
                <w:b/>
                <w:color w:val="FFFFFF"/>
              </w:rPr>
              <w:t>Pondere</w:t>
            </w:r>
          </w:p>
        </w:tc>
      </w:tr>
      <w:tr>
        <w:tc>
          <w:tcPr>
            <w:tcW w:type="dxa" w:w="7370"/>
          </w:tcPr>
          <w:p>
            <w:r>
              <w:t>Funcționalitate (montaj + cod funcționează conform sarcinilor)</w:t>
            </w:r>
          </w:p>
        </w:tc>
        <w:tc>
          <w:tcPr>
            <w:tcW w:type="dxa" w:w="1814"/>
          </w:tcPr>
          <w:p>
            <w:r>
              <w:t>40%</w:t>
            </w:r>
          </w:p>
        </w:tc>
      </w:tr>
      <w:tr>
        <w:tc>
          <w:tcPr>
            <w:tcW w:type="dxa" w:w="7370"/>
          </w:tcPr>
          <w:p>
            <w:r>
              <w:t>Măsurători/date corecte și prezentate clar (tabele/grafice)</w:t>
            </w:r>
          </w:p>
        </w:tc>
        <w:tc>
          <w:tcPr>
            <w:tcW w:type="dxa" w:w="1814"/>
          </w:tcPr>
          <w:p>
            <w:r>
              <w:t>25%</w:t>
            </w:r>
          </w:p>
        </w:tc>
      </w:tr>
      <w:tr>
        <w:tc>
          <w:tcPr>
            <w:tcW w:type="dxa" w:w="7370"/>
          </w:tcPr>
          <w:p>
            <w:r>
              <w:t>Discuție/interpretare — legătura cu teoria din capitol</w:t>
            </w:r>
          </w:p>
        </w:tc>
        <w:tc>
          <w:tcPr>
            <w:tcW w:type="dxa" w:w="1814"/>
          </w:tcPr>
          <w:p>
            <w:r>
              <w:t>25%</w:t>
            </w:r>
          </w:p>
        </w:tc>
      </w:tr>
      <w:tr>
        <w:tc>
          <w:tcPr>
            <w:tcW w:type="dxa" w:w="7370"/>
          </w:tcPr>
          <w:p>
            <w:r>
              <w:t>Provocare bonus (opțional)</w:t>
            </w:r>
          </w:p>
        </w:tc>
        <w:tc>
          <w:tcPr>
            <w:tcW w:type="dxa" w:w="1814"/>
          </w:tcPr>
          <w:p>
            <w:r>
              <w:t>+10%</w:t>
            </w:r>
          </w:p>
        </w:tc>
      </w:tr>
    </w:tbl>
    <w:p>
      <w:r>
        <w:br w:type="page"/>
      </w:r>
    </w:p>
    <w:p>
      <w:pPr>
        <w:pStyle w:val="Heading1"/>
      </w:pPr>
      <w:r>
        <w:t>4. Tabel sinoptic al celor 10 laboratoare</w:t>
      </w:r>
    </w:p>
    <w:tbl>
      <w:tblPr>
        <w:tblStyle w:val="LightGrid-Accent1"/>
        <w:tblW w:type="auto" w:w="0"/>
        <w:tblLayout w:type="fixed"/>
        <w:tblLook w:firstColumn="1" w:firstRow="1" w:lastColumn="0" w:lastRow="0" w:noHBand="0" w:noVBand="1" w:val="04A0"/>
      </w:tblPr>
      <w:tblGrid>
        <w:gridCol w:w="850"/>
        <w:gridCol w:w="5386"/>
        <w:gridCol w:w="2948"/>
      </w:tblGrid>
      <w:tr>
        <w:tc>
          <w:tcPr>
            <w:tcW w:type="dxa" w:w="850"/>
            <w:shd w:val="clear" w:color="auto" w:fill="2E74B5"/>
          </w:tcPr>
          <w:p>
            <w:r>
              <w:rPr>
                <w:b/>
                <w:color w:val="FFFFFF"/>
              </w:rPr>
              <w:t>Lab</w:t>
            </w:r>
          </w:p>
        </w:tc>
        <w:tc>
          <w:tcPr>
            <w:tcW w:type="dxa" w:w="5386"/>
            <w:shd w:val="clear" w:color="auto" w:fill="2E74B5"/>
          </w:tcPr>
          <w:p>
            <w:r>
              <w:rPr>
                <w:b/>
                <w:color w:val="FFFFFF"/>
              </w:rPr>
              <w:t>Proiect</w:t>
            </w:r>
          </w:p>
        </w:tc>
        <w:tc>
          <w:tcPr>
            <w:tcW w:type="dxa" w:w="2948"/>
            <w:shd w:val="clear" w:color="auto" w:fill="2E74B5"/>
          </w:tcPr>
          <w:p>
            <w:r>
              <w:rPr>
                <w:b/>
                <w:color w:val="FFFFFF"/>
              </w:rPr>
              <w:t>Capitol asociat</w:t>
            </w:r>
          </w:p>
        </w:tc>
      </w:tr>
      <w:tr>
        <w:tc>
          <w:tcPr>
            <w:tcW w:type="dxa" w:w="850"/>
          </w:tcPr>
          <w:p>
            <w:r>
              <w:t>1</w:t>
            </w:r>
          </w:p>
        </w:tc>
        <w:tc>
          <w:tcPr>
            <w:tcW w:type="dxa" w:w="5386"/>
          </w:tcPr>
          <w:p>
            <w:r>
              <w:t>Explorare arhitecturală: Pi 5 ca sistem încorporat</w:t>
            </w:r>
          </w:p>
        </w:tc>
        <w:tc>
          <w:tcPr>
            <w:tcW w:type="dxa" w:w="2948"/>
          </w:tcPr>
          <w:p>
            <w:r>
              <w:t>Cap. 1 — Introducere</w:t>
            </w:r>
          </w:p>
        </w:tc>
      </w:tr>
      <w:tr>
        <w:tc>
          <w:tcPr>
            <w:tcW w:type="dxa" w:w="850"/>
            <w:shd w:val="clear" w:color="auto" w:fill="EAF1F8"/>
          </w:tcPr>
          <w:p>
            <w:r>
              <w:t>2</w:t>
            </w:r>
          </w:p>
        </w:tc>
        <w:tc>
          <w:tcPr>
            <w:tcW w:type="dxa" w:w="5386"/>
            <w:shd w:val="clear" w:color="auto" w:fill="EAF1F8"/>
          </w:tcPr>
          <w:p>
            <w:r>
              <w:t>Profiler de instrucțiuni ARM64</w:t>
            </w:r>
          </w:p>
        </w:tc>
        <w:tc>
          <w:tcPr>
            <w:tcW w:type="dxa" w:w="2948"/>
            <w:shd w:val="clear" w:color="auto" w:fill="EAF1F8"/>
          </w:tcPr>
          <w:p>
            <w:r>
              <w:t>Cap. 2 — Arhitectura sistemelor de calcul</w:t>
            </w:r>
          </w:p>
        </w:tc>
      </w:tr>
      <w:tr>
        <w:tc>
          <w:tcPr>
            <w:tcW w:type="dxa" w:w="850"/>
          </w:tcPr>
          <w:p>
            <w:r>
              <w:t>3</w:t>
            </w:r>
          </w:p>
        </w:tc>
        <w:tc>
          <w:tcPr>
            <w:tcW w:type="dxa" w:w="5386"/>
          </w:tcPr>
          <w:p>
            <w:r>
              <w:t>Latență de întrerupere și excepții ARM</w:t>
            </w:r>
          </w:p>
        </w:tc>
        <w:tc>
          <w:tcPr>
            <w:tcW w:type="dxa" w:w="2948"/>
          </w:tcPr>
          <w:p>
            <w:r>
              <w:t>Cap. 3 — Memorie și procesoare ARM</w:t>
            </w:r>
          </w:p>
        </w:tc>
      </w:tr>
      <w:tr>
        <w:tc>
          <w:tcPr>
            <w:tcW w:type="dxa" w:w="850"/>
            <w:shd w:val="clear" w:color="auto" w:fill="EAF1F8"/>
          </w:tcPr>
          <w:p>
            <w:r>
              <w:t>4</w:t>
            </w:r>
          </w:p>
        </w:tc>
        <w:tc>
          <w:tcPr>
            <w:tcW w:type="dxa" w:w="5386"/>
            <w:shd w:val="clear" w:color="auto" w:fill="EAF1F8"/>
          </w:tcPr>
          <w:p>
            <w:r>
              <w:t>Monitor de energie în timp real</w:t>
            </w:r>
          </w:p>
        </w:tc>
        <w:tc>
          <w:tcPr>
            <w:tcW w:type="dxa" w:w="2948"/>
            <w:shd w:val="clear" w:color="auto" w:fill="EAF1F8"/>
          </w:tcPr>
          <w:p>
            <w:r>
              <w:t>Cap. 4 — Consumul de energie</w:t>
            </w:r>
          </w:p>
        </w:tc>
      </w:tr>
      <w:tr>
        <w:tc>
          <w:tcPr>
            <w:tcW w:type="dxa" w:w="850"/>
          </w:tcPr>
          <w:p>
            <w:r>
              <w:t>5</w:t>
            </w:r>
          </w:p>
        </w:tc>
        <w:tc>
          <w:tcPr>
            <w:tcW w:type="dxa" w:w="5386"/>
          </w:tcPr>
          <w:p>
            <w:r>
              <w:t>Guvernator DVFS: performanță vs. energie</w:t>
            </w:r>
          </w:p>
        </w:tc>
        <w:tc>
          <w:tcPr>
            <w:tcW w:type="dxa" w:w="2948"/>
          </w:tcPr>
          <w:p>
            <w:r>
              <w:t>Cap. 5 — Optimizare energetică</w:t>
            </w:r>
          </w:p>
        </w:tc>
      </w:tr>
      <w:tr>
        <w:tc>
          <w:tcPr>
            <w:tcW w:type="dxa" w:w="850"/>
            <w:shd w:val="clear" w:color="auto" w:fill="EAF1F8"/>
          </w:tcPr>
          <w:p>
            <w:r>
              <w:t>6</w:t>
            </w:r>
          </w:p>
        </w:tc>
        <w:tc>
          <w:tcPr>
            <w:tcW w:type="dxa" w:w="5386"/>
            <w:shd w:val="clear" w:color="auto" w:fill="EAF1F8"/>
          </w:tcPr>
          <w:p>
            <w:r>
              <w:t>Aplicație eco-mode</w:t>
            </w:r>
          </w:p>
        </w:tc>
        <w:tc>
          <w:tcPr>
            <w:tcW w:type="dxa" w:w="2948"/>
            <w:shd w:val="clear" w:color="auto" w:fill="EAF1F8"/>
          </w:tcPr>
          <w:p>
            <w:r>
              <w:t>Cap. 6 — Software power management</w:t>
            </w:r>
          </w:p>
        </w:tc>
      </w:tr>
      <w:tr>
        <w:tc>
          <w:tcPr>
            <w:tcW w:type="dxa" w:w="850"/>
          </w:tcPr>
          <w:p>
            <w:r>
              <w:t>7</w:t>
            </w:r>
          </w:p>
        </w:tc>
        <w:tc>
          <w:tcPr>
            <w:tcW w:type="dxa" w:w="5386"/>
          </w:tcPr>
          <w:p>
            <w:r>
              <w:t>Planificare RT și inversiune de prioritate</w:t>
            </w:r>
          </w:p>
        </w:tc>
        <w:tc>
          <w:tcPr>
            <w:tcW w:type="dxa" w:w="2948"/>
          </w:tcPr>
          <w:p>
            <w:r>
              <w:t>Cap. 7 — Execuție, planificare, RTOS</w:t>
            </w:r>
          </w:p>
        </w:tc>
      </w:tr>
      <w:tr>
        <w:tc>
          <w:tcPr>
            <w:tcW w:type="dxa" w:w="850"/>
            <w:shd w:val="clear" w:color="auto" w:fill="EAF1F8"/>
          </w:tcPr>
          <w:p>
            <w:r>
              <w:t>8</w:t>
            </w:r>
          </w:p>
        </w:tc>
        <w:tc>
          <w:tcPr>
            <w:tcW w:type="dxa" w:w="5386"/>
            <w:shd w:val="clear" w:color="auto" w:fill="EAF1F8"/>
          </w:tcPr>
          <w:p>
            <w:r>
              <w:t>Accelerare hardware: NEON vs. cod scalar</w:t>
            </w:r>
          </w:p>
        </w:tc>
        <w:tc>
          <w:tcPr>
            <w:tcW w:type="dxa" w:w="2948"/>
            <w:shd w:val="clear" w:color="auto" w:fill="EAF1F8"/>
          </w:tcPr>
          <w:p>
            <w:r>
              <w:t>Cap. 8 — Sisteme reconfigurabile</w:t>
            </w:r>
          </w:p>
        </w:tc>
      </w:tr>
      <w:tr>
        <w:tc>
          <w:tcPr>
            <w:tcW w:type="dxa" w:w="850"/>
          </w:tcPr>
          <w:p>
            <w:r>
              <w:t>9</w:t>
            </w:r>
          </w:p>
        </w:tc>
        <w:tc>
          <w:tcPr>
            <w:tcW w:type="dxa" w:w="5386"/>
          </w:tcPr>
          <w:p>
            <w:r>
              <w:t>Nod alimentat din energie recoltată</w:t>
            </w:r>
          </w:p>
        </w:tc>
        <w:tc>
          <w:tcPr>
            <w:tcW w:type="dxa" w:w="2948"/>
          </w:tcPr>
          <w:p>
            <w:r>
              <w:t>Cap. 9 — Energy harvesting</w:t>
            </w:r>
          </w:p>
        </w:tc>
      </w:tr>
      <w:tr>
        <w:tc>
          <w:tcPr>
            <w:tcW w:type="dxa" w:w="850"/>
            <w:shd w:val="clear" w:color="auto" w:fill="EAF1F8"/>
          </w:tcPr>
          <w:p>
            <w:r>
              <w:t>10</w:t>
            </w:r>
          </w:p>
        </w:tc>
        <w:tc>
          <w:tcPr>
            <w:tcW w:type="dxa" w:w="5386"/>
            <w:shd w:val="clear" w:color="auto" w:fill="EAF1F8"/>
          </w:tcPr>
          <w:p>
            <w:r>
              <w:t>Nod IoT complet: senzor → cloud</w:t>
            </w:r>
          </w:p>
        </w:tc>
        <w:tc>
          <w:tcPr>
            <w:tcW w:type="dxa" w:w="2948"/>
            <w:shd w:val="clear" w:color="auto" w:fill="EAF1F8"/>
          </w:tcPr>
          <w:p>
            <w:r>
              <w:t>Cap. 10 — IoT și rețele</w:t>
            </w:r>
          </w:p>
        </w:tc>
      </w:tr>
    </w:tbl>
    <w:p>
      <w:r>
        <w:br w:type="page"/>
      </w:r>
    </w:p>
    <w:p>
      <w:pPr>
        <w:pStyle w:val="Heading1"/>
      </w:pPr>
      <w:r>
        <w:t>Laboratorul 1 — Explorare arhitecturală: Pi 5 ca sistem încorporat</w:t>
      </w:r>
    </w:p>
    <w:p>
      <w:pPr>
        <w:spacing w:after="120"/>
      </w:pPr>
      <w:r>
        <w:rPr>
          <w:b w:val="0"/>
          <w:i/>
          <w:color w:val="555555"/>
          <w:sz w:val="21"/>
        </w:rPr>
        <w:t>Capitol asociat: Capitolul 1 — Introducere în sistemele încorporate</w:t>
      </w:r>
    </w:p>
    <w:p>
      <w:pPr>
        <w:spacing w:before="80" w:after="200"/>
        <w:pBdr>
          <w:bottom w:val="single" w:sz="6" w:space="1" w:color="B0B0B0"/>
        </w:pBdr>
      </w:pPr>
    </w:p>
    <w:p>
      <w:pPr>
        <w:pStyle w:val="Heading3"/>
      </w:pPr>
      <w:r>
        <w:t>Obiective</w:t>
      </w:r>
    </w:p>
    <w:p>
      <w:pPr>
        <w:pStyle w:val="ListBullet"/>
        <w:spacing w:after="60"/>
      </w:pPr>
      <w:r>
        <w:rPr>
          <w:sz w:val="22"/>
        </w:rPr>
        <w:t>Familiarizare cu Raspberry Pi 5 și cu mediul de dezvoltare (SSH, toolchain, GPIO)</w:t>
      </w:r>
    </w:p>
    <w:p>
      <w:pPr>
        <w:pStyle w:val="ListBullet"/>
        <w:spacing w:after="60"/>
      </w:pPr>
      <w:r>
        <w:rPr>
          <w:sz w:val="22"/>
        </w:rPr>
        <w:t>Înțelegerea criteriilor care definesc un sistem încorporat și încadrarea Pi 5 în acea taxonomie</w:t>
      </w:r>
    </w:p>
    <w:p>
      <w:pPr>
        <w:pStyle w:val="ListBullet"/>
        <w:spacing w:after="60"/>
      </w:pPr>
      <w:r>
        <w:rPr>
          <w:sz w:val="22"/>
        </w:rPr>
        <w:t>Primul contact cu GPIO și cu afișajul LCD</w:t>
      </w:r>
    </w:p>
    <w:p>
      <w:pPr>
        <w:pStyle w:val="Heading3"/>
      </w:pPr>
      <w:r>
        <w:t>Context teoretic</w:t>
      </w:r>
    </w:p>
    <w:p>
      <w:pPr>
        <w:spacing w:after="120"/>
      </w:pPr>
      <w:r>
        <w:rPr>
          <w:b w:val="0"/>
          <w:i w:val="0"/>
          <w:sz w:val="22"/>
        </w:rPr>
        <w:t>Capitolul 1 definește sistemele încorporate prin: dedicare la o funcție specifică, constrângeri de resurse (memorie, energie, cost), interacțiune directă cu mediul fizic prin senzori/actuatori și, adesea, cerințe de timp real. Raspberry Pi 5 este un caz interesant de graniță: rulează Linux complet, are resurse generoase, dar poate fi dedicat unei singure aplicații și interacționează cu mediul prin GPIO — un bun punct de plecare pentru a discuta unde se termină "sistem de calcul general" și unde începe "sistem încorporat".</w:t>
      </w:r>
    </w:p>
    <w:p>
      <w:pPr>
        <w:pStyle w:val="Heading3"/>
      </w:pPr>
      <w:r>
        <w:t>Materiale necesare</w:t>
      </w:r>
    </w:p>
    <w:p>
      <w:pPr>
        <w:pStyle w:val="ListBullet"/>
        <w:spacing w:after="60"/>
      </w:pPr>
      <w:r>
        <w:rPr>
          <w:sz w:val="22"/>
        </w:rPr>
        <w:t>Raspberry Pi 5 + sursă 27W</w:t>
      </w:r>
    </w:p>
    <w:p>
      <w:pPr>
        <w:pStyle w:val="ListBullet"/>
        <w:spacing w:after="60"/>
      </w:pPr>
      <w:r>
        <w:rPr>
          <w:sz w:val="22"/>
        </w:rPr>
        <w:t>LCD</w:t>
      </w:r>
    </w:p>
    <w:p>
      <w:pPr>
        <w:pStyle w:val="ListBullet"/>
        <w:spacing w:after="60"/>
      </w:pPr>
      <w:r>
        <w:rPr>
          <w:sz w:val="22"/>
        </w:rPr>
        <w:t>LED, rezistor 220Ω, breadboard, fire</w:t>
      </w:r>
    </w:p>
    <w:p>
      <w:pPr>
        <w:pStyle w:val="Heading3"/>
      </w:pPr>
      <w:r>
        <w:t>Sarcini de lucru</w:t>
      </w:r>
    </w:p>
    <w:p>
      <w:pPr>
        <w:spacing w:after="60"/>
        <w:ind w:left="357" w:hanging="357"/>
      </w:pPr>
      <w:r>
        <w:rPr>
          <w:sz w:val="22"/>
        </w:rPr>
        <w:t>1.</w:t>
        <w:tab/>
      </w:r>
      <w:r>
        <w:rPr>
          <w:sz w:val="22"/>
        </w:rPr>
        <w:t>Instalați Raspberry Pi OS (64-bit) și configurați acces SSH.</w:t>
      </w:r>
    </w:p>
    <w:p>
      <w:pPr>
        <w:spacing w:after="60"/>
        <w:ind w:left="357" w:hanging="357"/>
      </w:pPr>
      <w:r>
        <w:rPr>
          <w:sz w:val="22"/>
        </w:rPr>
        <w:t>2.</w:t>
        <w:tab/>
      </w:r>
      <w:r>
        <w:rPr>
          <w:sz w:val="22"/>
        </w:rPr>
        <w:t>Explorați specificațiile sistemului: lscpu, cat /proc/cpuinfo, vcgencmd measure_temp, free -h, df -h. Notați arhitectura CPU, numărul de nuclee, memoria disponibilă.</w:t>
      </w:r>
    </w:p>
    <w:p>
      <w:pPr>
        <w:spacing w:after="60"/>
        <w:ind w:left="357" w:hanging="357"/>
      </w:pPr>
      <w:r>
        <w:rPr>
          <w:sz w:val="22"/>
        </w:rPr>
        <w:t>3.</w:t>
        <w:tab/>
      </w:r>
      <w:r>
        <w:rPr>
          <w:sz w:val="22"/>
        </w:rPr>
        <w:t>Conectați un LED pe un pin GPIO și scrieți un program de blink, o dată în Python (gpiozero) și o dată în C (libgpiod).</w:t>
      </w:r>
    </w:p>
    <w:p>
      <w:pPr>
        <w:spacing w:after="60"/>
        <w:ind w:left="357" w:hanging="357"/>
      </w:pPr>
      <w:r>
        <w:rPr>
          <w:sz w:val="22"/>
        </w:rPr>
        <w:t>4.</w:t>
        <w:tab/>
      </w:r>
      <w:r>
        <w:rPr>
          <w:sz w:val="22"/>
        </w:rPr>
        <w:t>Conectați afișajul LCD și afișați un mesaj de tip "Hello Embedded World" împreună cu specificațiile citite la pasul 2 (CPU, RAM, temperatură).</w:t>
      </w:r>
    </w:p>
    <w:p>
      <w:pPr>
        <w:spacing w:after="60"/>
        <w:ind w:left="357" w:hanging="357"/>
      </w:pPr>
      <w:r>
        <w:rPr>
          <w:sz w:val="22"/>
        </w:rPr>
        <w:t>5.</w:t>
        <w:tab/>
      </w:r>
      <w:r>
        <w:rPr>
          <w:sz w:val="22"/>
        </w:rPr>
        <w:t>Întocmiți un tabel comparativ Pi 5 vs. un microcontroler tipic (ex. STM32 din carte): frecvență, RAM, consum, sistem de operare, cost.</w:t>
      </w:r>
    </w:p>
    <w:p>
      <w:pPr>
        <w:pStyle w:val="Heading3"/>
      </w:pPr>
      <w:r>
        <w:t>Livrabile</w:t>
      </w:r>
    </w:p>
    <w:p>
      <w:pPr>
        <w:pStyle w:val="ListBullet"/>
        <w:spacing w:after="60"/>
      </w:pPr>
      <w:r>
        <w:rPr>
          <w:sz w:val="22"/>
        </w:rPr>
        <w:t>Cod sursă blink (Python + C)</w:t>
      </w:r>
    </w:p>
    <w:p>
      <w:pPr>
        <w:pStyle w:val="ListBullet"/>
        <w:spacing w:after="60"/>
      </w:pPr>
      <w:r>
        <w:rPr>
          <w:sz w:val="22"/>
        </w:rPr>
        <w:t>Cod sursă afișare LCD + captură ecran/foto a rezultatului</w:t>
      </w:r>
    </w:p>
    <w:p>
      <w:pPr>
        <w:pStyle w:val="ListBullet"/>
        <w:spacing w:after="60"/>
      </w:pPr>
      <w:r>
        <w:rPr>
          <w:sz w:val="22"/>
        </w:rPr>
        <w:t>Tabelul comparativ Pi 5 vs. microcontroler</w:t>
      </w:r>
    </w:p>
    <w:p>
      <w:pPr>
        <w:pStyle w:val="ListBullet"/>
        <w:spacing w:after="60"/>
      </w:pPr>
      <w:r>
        <w:rPr>
          <w:sz w:val="22"/>
        </w:rPr>
        <w:t>Scurt paragraf: încadrarea justificată a Pi 5 în taxonomia din Cap. 1</w:t>
      </w:r>
    </w:p>
    <w:p>
      <w:pPr>
        <w:pStyle w:val="Heading3"/>
      </w:pPr>
      <w:r>
        <w:t>Criterii de evaluare specifice</w:t>
      </w:r>
    </w:p>
    <w:p>
      <w:pPr>
        <w:pStyle w:val="ListBullet"/>
        <w:spacing w:after="60"/>
      </w:pPr>
      <w:r>
        <w:rPr>
          <w:sz w:val="22"/>
        </w:rPr>
        <w:t>LED și LCD funcționale conform cerințelor</w:t>
      </w:r>
    </w:p>
    <w:p>
      <w:pPr>
        <w:pStyle w:val="ListBullet"/>
        <w:spacing w:after="60"/>
      </w:pPr>
      <w:r>
        <w:rPr>
          <w:sz w:val="22"/>
        </w:rPr>
        <w:t>Tabel comparativ complet și corect</w:t>
      </w:r>
    </w:p>
    <w:p>
      <w:pPr>
        <w:pStyle w:val="ListBullet"/>
        <w:spacing w:after="60"/>
      </w:pPr>
      <w:r>
        <w:rPr>
          <w:sz w:val="22"/>
        </w:rPr>
        <w:t>Argumentație clară în discuția de încadrare</w:t>
      </w:r>
    </w:p>
    <w:p>
      <w:pPr>
        <w:pStyle w:val="Heading3"/>
      </w:pPr>
      <w:r>
        <w:t>Provocare bonus</w:t>
      </w:r>
    </w:p>
    <w:p>
      <w:pPr>
        <w:spacing w:after="120"/>
      </w:pPr>
      <w:r>
        <w:rPr>
          <w:b w:val="0"/>
          <w:i w:val="0"/>
          <w:sz w:val="22"/>
        </w:rPr>
        <w:t>Adăugați un buton care comută mesajul afișat pe LCD între 2-3 ecrane diferite (pregătire pentru Laboratorul 3).</w:t>
      </w:r>
    </w:p>
    <w:p>
      <w:r>
        <w:br w:type="page"/>
      </w:r>
    </w:p>
    <w:p>
      <w:pPr>
        <w:pStyle w:val="Heading1"/>
      </w:pPr>
      <w:r>
        <w:t>Laboratorul 2 — Profiler de instrucțiuni ARM64</w:t>
      </w:r>
    </w:p>
    <w:p>
      <w:pPr>
        <w:spacing w:after="120"/>
      </w:pPr>
      <w:r>
        <w:rPr>
          <w:b w:val="0"/>
          <w:i/>
          <w:color w:val="555555"/>
          <w:sz w:val="21"/>
        </w:rPr>
        <w:t>Capitol asociat: Capitolul 2 — Arhitectura sistemelor de calcul</w:t>
      </w:r>
    </w:p>
    <w:p>
      <w:pPr>
        <w:spacing w:before="80" w:after="200"/>
        <w:pBdr>
          <w:bottom w:val="single" w:sz="6" w:space="1" w:color="B0B0B0"/>
        </w:pBdr>
      </w:pPr>
    </w:p>
    <w:p>
      <w:pPr>
        <w:pStyle w:val="Heading3"/>
      </w:pPr>
      <w:r>
        <w:t>Obiective</w:t>
      </w:r>
    </w:p>
    <w:p>
      <w:pPr>
        <w:pStyle w:val="ListBullet"/>
        <w:spacing w:after="60"/>
      </w:pPr>
      <w:r>
        <w:rPr>
          <w:sz w:val="22"/>
        </w:rPr>
        <w:t>Înțelegerea practică a conceptului de set de instrucțiuni (ISA)</w:t>
      </w:r>
    </w:p>
    <w:p>
      <w:pPr>
        <w:pStyle w:val="ListBullet"/>
        <w:spacing w:after="60"/>
      </w:pPr>
      <w:r>
        <w:rPr>
          <w:sz w:val="22"/>
        </w:rPr>
        <w:t>Observarea directă a efectului nivelului de optimizare a compilatorului asupra codului mașină</w:t>
      </w:r>
    </w:p>
    <w:p>
      <w:pPr>
        <w:pStyle w:val="ListBullet"/>
        <w:spacing w:after="60"/>
      </w:pPr>
      <w:r>
        <w:rPr>
          <w:sz w:val="22"/>
        </w:rPr>
        <w:t>Măsurarea performanței la nivel de cicluri CPU (CPI/IPC)</w:t>
      </w:r>
    </w:p>
    <w:p>
      <w:pPr>
        <w:pStyle w:val="Heading3"/>
      </w:pPr>
      <w:r>
        <w:t>Context teoretic</w:t>
      </w:r>
    </w:p>
    <w:p>
      <w:pPr>
        <w:spacing w:after="120"/>
      </w:pPr>
      <w:r>
        <w:rPr>
          <w:b w:val="0"/>
          <w:i w:val="0"/>
          <w:sz w:val="22"/>
        </w:rPr>
        <w:t>Capitolul 2 discută arhitecturile de seturi de instrucțiuni (RISC vs. CISC), pipeline-ul de execuție și metricile de performanță precum CPI (cicluri per instrucțiune). Pi 5 rulează un procesor ARM64 (ARMv8-A) real, permițând observarea directă a codului mașină generat de compilator și măsurarea performanței cu contoare hardware de performanță (PMU), spre deosebire de discuția pur teoretică din curs.</w:t>
      </w:r>
    </w:p>
    <w:p>
      <w:pPr>
        <w:pStyle w:val="Heading3"/>
      </w:pPr>
      <w:r>
        <w:t>Materiale necesare</w:t>
      </w:r>
    </w:p>
    <w:p>
      <w:pPr>
        <w:pStyle w:val="ListBullet"/>
        <w:spacing w:after="60"/>
      </w:pPr>
      <w:r>
        <w:rPr>
          <w:sz w:val="22"/>
        </w:rPr>
        <w:t>Raspberry Pi 5</w:t>
      </w:r>
    </w:p>
    <w:p>
      <w:pPr>
        <w:pStyle w:val="ListBullet"/>
        <w:spacing w:after="60"/>
      </w:pPr>
      <w:r>
        <w:rPr>
          <w:sz w:val="22"/>
        </w:rPr>
        <w:t>LCD (opțional, pentru afișarea rezultatelor)</w:t>
      </w:r>
    </w:p>
    <w:p>
      <w:pPr>
        <w:pStyle w:val="Heading3"/>
      </w:pPr>
      <w:r>
        <w:t>Sarcini de lucru</w:t>
      </w:r>
    </w:p>
    <w:p>
      <w:pPr>
        <w:spacing w:after="60"/>
        <w:ind w:left="357" w:hanging="357"/>
      </w:pPr>
      <w:r>
        <w:rPr>
          <w:sz w:val="22"/>
        </w:rPr>
        <w:t>1.</w:t>
        <w:tab/>
      </w:r>
      <w:r>
        <w:rPr>
          <w:sz w:val="22"/>
        </w:rPr>
        <w:t>Scrieți 2-3 programe C reprezentative (o buclă de sumare, o sortare, un calcul matriceal mic).</w:t>
      </w:r>
    </w:p>
    <w:p>
      <w:pPr>
        <w:spacing w:after="60"/>
        <w:ind w:left="357" w:hanging="357"/>
      </w:pPr>
      <w:r>
        <w:rPr>
          <w:sz w:val="22"/>
        </w:rPr>
        <w:t>2.</w:t>
        <w:tab/>
      </w:r>
      <w:r>
        <w:rPr>
          <w:sz w:val="22"/>
        </w:rPr>
        <w:t>Compilați fiecare program cu -O0, -O1, -O2, -O3 și dezasamblați rezultatul cu objdump -d, identificând instrucțiunile ARM64 principale (LDR/STR, ADD, B.cond etc.).</w:t>
      </w:r>
    </w:p>
    <w:p>
      <w:pPr>
        <w:spacing w:after="60"/>
        <w:ind w:left="357" w:hanging="357"/>
      </w:pPr>
      <w:r>
        <w:rPr>
          <w:sz w:val="22"/>
        </w:rPr>
        <w:t>3.</w:t>
        <w:tab/>
      </w:r>
      <w:r>
        <w:rPr>
          <w:sz w:val="22"/>
        </w:rPr>
        <w:t>Măsurați timpul de execuție și numărul de cicluri/instrucțiuni folosind perf stat (cycles, instructions) și calculați IPC pentru fiecare nivel de optimizare.</w:t>
      </w:r>
    </w:p>
    <w:p>
      <w:pPr>
        <w:spacing w:after="60"/>
        <w:ind w:left="357" w:hanging="357"/>
      </w:pPr>
      <w:r>
        <w:rPr>
          <w:sz w:val="22"/>
        </w:rPr>
        <w:t>4.</w:t>
        <w:tab/>
      </w:r>
      <w:r>
        <w:rPr>
          <w:sz w:val="22"/>
        </w:rPr>
        <w:t>Construiți un tabel/grafic IPC vs. nivel de optimizare; opțional, afișați rezultatul final pe LCD.</w:t>
      </w:r>
    </w:p>
    <w:p>
      <w:pPr>
        <w:spacing w:after="60"/>
        <w:ind w:left="357" w:hanging="357"/>
      </w:pPr>
      <w:r>
        <w:rPr>
          <w:sz w:val="22"/>
        </w:rPr>
        <w:t>5.</w:t>
        <w:tab/>
      </w:r>
      <w:r>
        <w:rPr>
          <w:sz w:val="22"/>
        </w:rPr>
        <w:t>Scrieți o secvență scurtă de assembly inline ARM64 pentru o operație simplă (ex. adunare cu overflow check) și verificați corectitudinea.</w:t>
      </w:r>
    </w:p>
    <w:p>
      <w:pPr>
        <w:pStyle w:val="Heading3"/>
      </w:pPr>
      <w:r>
        <w:t>Livrabile</w:t>
      </w:r>
    </w:p>
    <w:p>
      <w:pPr>
        <w:pStyle w:val="ListBullet"/>
        <w:spacing w:after="60"/>
      </w:pPr>
      <w:r>
        <w:rPr>
          <w:sz w:val="22"/>
        </w:rPr>
        <w:t>Codurile sursă + fișierele de dezasamblare adnotate</w:t>
      </w:r>
    </w:p>
    <w:p>
      <w:pPr>
        <w:pStyle w:val="ListBullet"/>
        <w:spacing w:after="60"/>
      </w:pPr>
      <w:r>
        <w:rPr>
          <w:sz w:val="22"/>
        </w:rPr>
        <w:t>Tabel/grafic IPC pe niveluri de optimizare</w:t>
      </w:r>
    </w:p>
    <w:p>
      <w:pPr>
        <w:pStyle w:val="ListBullet"/>
        <w:spacing w:after="60"/>
      </w:pPr>
      <w:r>
        <w:rPr>
          <w:sz w:val="22"/>
        </w:rPr>
        <w:t>Secvența de assembly inline + explicație</w:t>
      </w:r>
    </w:p>
    <w:p>
      <w:pPr>
        <w:pStyle w:val="Heading3"/>
      </w:pPr>
      <w:r>
        <w:t>Criterii de evaluare specifice</w:t>
      </w:r>
    </w:p>
    <w:p>
      <w:pPr>
        <w:pStyle w:val="ListBullet"/>
        <w:spacing w:after="60"/>
      </w:pPr>
      <w:r>
        <w:rPr>
          <w:sz w:val="22"/>
        </w:rPr>
        <w:t>Măsurătorile perf sunt corecte și reproductibile</w:t>
      </w:r>
    </w:p>
    <w:p>
      <w:pPr>
        <w:pStyle w:val="ListBullet"/>
        <w:spacing w:after="60"/>
      </w:pPr>
      <w:r>
        <w:rPr>
          <w:sz w:val="22"/>
        </w:rPr>
        <w:t>Interpretare corectă a variației IPC cu nivelul de optimizare</w:t>
      </w:r>
    </w:p>
    <w:p>
      <w:pPr>
        <w:pStyle w:val="ListBullet"/>
        <w:spacing w:after="60"/>
      </w:pPr>
      <w:r>
        <w:rPr>
          <w:sz w:val="22"/>
        </w:rPr>
        <w:t>Assembly inline funcțional</w:t>
      </w:r>
    </w:p>
    <w:p>
      <w:pPr>
        <w:pStyle w:val="Heading3"/>
      </w:pPr>
      <w:r>
        <w:t>Provocare bonus</w:t>
      </w:r>
    </w:p>
    <w:p>
      <w:pPr>
        <w:spacing w:after="120"/>
      </w:pPr>
      <w:r>
        <w:rPr>
          <w:b w:val="0"/>
          <w:i w:val="0"/>
          <w:sz w:val="22"/>
        </w:rPr>
        <w:t>Cross-compilați unul dintre programe pentru un alt ISA (ex. x86-64, folosind un PC obișnuit) și comparați structura codului generat pentru aceeași buclă.</w:t>
      </w:r>
    </w:p>
    <w:p>
      <w:r>
        <w:br w:type="page"/>
      </w:r>
    </w:p>
    <w:p>
      <w:pPr>
        <w:pStyle w:val="Heading1"/>
      </w:pPr>
      <w:r>
        <w:t>Laboratorul 3 — Latență de întrerupere și excepții ARM</w:t>
      </w:r>
    </w:p>
    <w:p>
      <w:pPr>
        <w:spacing w:after="120"/>
      </w:pPr>
      <w:r>
        <w:rPr>
          <w:b w:val="0"/>
          <w:i/>
          <w:color w:val="555555"/>
          <w:sz w:val="21"/>
        </w:rPr>
        <w:t>Capitol asociat: Capitolul 3 — Arhitectura memoriei și procesoarele ARM</w:t>
      </w:r>
    </w:p>
    <w:p>
      <w:pPr>
        <w:spacing w:before="80" w:after="200"/>
        <w:pBdr>
          <w:bottom w:val="single" w:sz="6" w:space="1" w:color="B0B0B0"/>
        </w:pBdr>
      </w:pPr>
    </w:p>
    <w:p>
      <w:pPr>
        <w:pStyle w:val="Heading3"/>
      </w:pPr>
      <w:r>
        <w:t>Obiective</w:t>
      </w:r>
    </w:p>
    <w:p>
      <w:pPr>
        <w:pStyle w:val="ListBullet"/>
        <w:spacing w:after="60"/>
      </w:pPr>
      <w:r>
        <w:rPr>
          <w:sz w:val="22"/>
        </w:rPr>
        <w:t>Înțelegerea diferenței dintre polling și I/O bazat pe întreruperi</w:t>
      </w:r>
    </w:p>
    <w:p>
      <w:pPr>
        <w:pStyle w:val="ListBullet"/>
        <w:spacing w:after="60"/>
      </w:pPr>
      <w:r>
        <w:rPr>
          <w:sz w:val="22"/>
        </w:rPr>
        <w:t>Măsurarea latenței reale de reacție a sistemului la un eveniment extern</w:t>
      </w:r>
    </w:p>
    <w:p>
      <w:pPr>
        <w:pStyle w:val="ListBullet"/>
        <w:spacing w:after="60"/>
      </w:pPr>
      <w:r>
        <w:rPr>
          <w:sz w:val="22"/>
        </w:rPr>
        <w:t>Contact cu conceptul de excepție/context de execuție la nivel de procesor ARM</w:t>
      </w:r>
    </w:p>
    <w:p>
      <w:pPr>
        <w:pStyle w:val="Heading3"/>
      </w:pPr>
      <w:r>
        <w:t>Context teoretic</w:t>
      </w:r>
    </w:p>
    <w:p>
      <w:pPr>
        <w:spacing w:after="120"/>
      </w:pPr>
      <w:r>
        <w:rPr>
          <w:b w:val="0"/>
          <w:i w:val="0"/>
          <w:sz w:val="22"/>
        </w:rPr>
        <w:t>Capitolul 3 acoperă arhitectura de memorie și modurile de execuție/excepție ale procesoarelor ARM. Deși Linux abstractizează întreruperile hardware, GPIO edge-detection oferă un exemplu direct, măsurabil, de latență de reacție la eveniment extern, iar analiza unui semnal Unix (SIGSEGV) permite observarea registrelor de context salvate la o excepție — o analogie practică apropiată de conceptul de exception level din ARM.</w:t>
      </w:r>
    </w:p>
    <w:p>
      <w:pPr>
        <w:pStyle w:val="Heading3"/>
      </w:pPr>
      <w:r>
        <w:t>Materiale necesare</w:t>
      </w:r>
    </w:p>
    <w:p>
      <w:pPr>
        <w:pStyle w:val="ListBullet"/>
        <w:spacing w:after="60"/>
      </w:pPr>
      <w:r>
        <w:rPr>
          <w:sz w:val="22"/>
        </w:rPr>
        <w:t>Raspberry Pi 5</w:t>
      </w:r>
    </w:p>
    <w:p>
      <w:pPr>
        <w:pStyle w:val="ListBullet"/>
        <w:spacing w:after="60"/>
      </w:pPr>
      <w:r>
        <w:rPr>
          <w:sz w:val="22"/>
        </w:rPr>
        <w:t>buton, LED, breadboard</w:t>
      </w:r>
    </w:p>
    <w:p>
      <w:pPr>
        <w:pStyle w:val="Heading3"/>
      </w:pPr>
      <w:r>
        <w:t>Sarcini de lucru</w:t>
      </w:r>
    </w:p>
    <w:p>
      <w:pPr>
        <w:spacing w:after="60"/>
        <w:ind w:left="357" w:hanging="357"/>
      </w:pPr>
      <w:r>
        <w:rPr>
          <w:sz w:val="22"/>
        </w:rPr>
        <w:t>1.</w:t>
        <w:tab/>
      </w:r>
      <w:r>
        <w:rPr>
          <w:sz w:val="22"/>
        </w:rPr>
        <w:t>Configurați un GPIO ca intrare cu detecție de front (edge detection) folosind libgpiod sau gpiozero.</w:t>
      </w:r>
    </w:p>
    <w:p>
      <w:pPr>
        <w:spacing w:after="60"/>
        <w:ind w:left="357" w:hanging="357"/>
      </w:pPr>
      <w:r>
        <w:rPr>
          <w:sz w:val="22"/>
        </w:rPr>
        <w:t>2.</w:t>
        <w:tab/>
      </w:r>
      <w:r>
        <w:rPr>
          <w:sz w:val="22"/>
        </w:rPr>
        <w:t>Măsurați latența buton→reacție (LED/LCD) folosind clock_gettime(CLOCK_MONOTONIC), în trei scenarii: (a) polling simplu, (b) event-driven/interrupt, (c) sub sarcină CPU artificială (stress-ng).</w:t>
      </w:r>
    </w:p>
    <w:p>
      <w:pPr>
        <w:spacing w:after="60"/>
        <w:ind w:left="357" w:hanging="357"/>
      </w:pPr>
      <w:r>
        <w:rPr>
          <w:sz w:val="22"/>
        </w:rPr>
        <w:t>3.</w:t>
        <w:tab/>
      </w:r>
      <w:r>
        <w:rPr>
          <w:sz w:val="22"/>
        </w:rPr>
        <w:t>Provocați deliberat un SIGSEGV controlat, capturați-l cu un handler și afișați conținutul ucontext_t (registrele salvate la momentul excepției).</w:t>
      </w:r>
    </w:p>
    <w:p>
      <w:pPr>
        <w:spacing w:after="60"/>
        <w:ind w:left="357" w:hanging="357"/>
      </w:pPr>
      <w:r>
        <w:rPr>
          <w:sz w:val="22"/>
        </w:rPr>
        <w:t>4.</w:t>
        <w:tab/>
      </w:r>
      <w:r>
        <w:rPr>
          <w:sz w:val="22"/>
        </w:rPr>
        <w:t>Comparați cele trei scenarii de latență într-un tabel/grafic.</w:t>
      </w:r>
    </w:p>
    <w:p>
      <w:pPr>
        <w:spacing w:after="60"/>
        <w:ind w:left="357" w:hanging="357"/>
      </w:pPr>
      <w:r>
        <w:rPr>
          <w:sz w:val="22"/>
        </w:rPr>
        <w:t>5.</w:t>
        <w:tab/>
      </w:r>
      <w:r>
        <w:rPr>
          <w:sz w:val="22"/>
        </w:rPr>
        <w:t>Discutați rezultatele în raport, în relație cu conceptele de întrerupere/excepție din Cap. 3.</w:t>
      </w:r>
    </w:p>
    <w:p>
      <w:pPr>
        <w:pStyle w:val="Heading3"/>
      </w:pPr>
      <w:r>
        <w:t>Livrabile</w:t>
      </w:r>
    </w:p>
    <w:p>
      <w:pPr>
        <w:pStyle w:val="ListBullet"/>
        <w:spacing w:after="60"/>
      </w:pPr>
      <w:r>
        <w:rPr>
          <w:sz w:val="22"/>
        </w:rPr>
        <w:t>Cod sursă pentru cele trei scenarii de măsurare a latenței</w:t>
      </w:r>
    </w:p>
    <w:p>
      <w:pPr>
        <w:pStyle w:val="ListBullet"/>
        <w:spacing w:after="60"/>
      </w:pPr>
      <w:r>
        <w:rPr>
          <w:sz w:val="22"/>
        </w:rPr>
        <w:t>Tabel/grafic comparativ al latențelor</w:t>
      </w:r>
    </w:p>
    <w:p>
      <w:pPr>
        <w:pStyle w:val="ListBullet"/>
        <w:spacing w:after="60"/>
      </w:pPr>
      <w:r>
        <w:rPr>
          <w:sz w:val="22"/>
        </w:rPr>
        <w:t>Listing-ul registrelor capturate din handler-ul de semnal + interpretare</w:t>
      </w:r>
    </w:p>
    <w:p>
      <w:pPr>
        <w:pStyle w:val="Heading3"/>
      </w:pPr>
      <w:r>
        <w:t>Criterii de evaluare specifice</w:t>
      </w:r>
    </w:p>
    <w:p>
      <w:pPr>
        <w:pStyle w:val="ListBullet"/>
        <w:spacing w:after="60"/>
      </w:pPr>
      <w:r>
        <w:rPr>
          <w:sz w:val="22"/>
        </w:rPr>
        <w:t>Măsurătorile de latență sunt consistente și corect interpretate</w:t>
      </w:r>
    </w:p>
    <w:p>
      <w:pPr>
        <w:pStyle w:val="ListBullet"/>
        <w:spacing w:after="60"/>
      </w:pPr>
      <w:r>
        <w:rPr>
          <w:sz w:val="22"/>
        </w:rPr>
        <w:t>Handler-ul de semnal funcționează și extrage informația cerută</w:t>
      </w:r>
    </w:p>
    <w:p>
      <w:pPr>
        <w:pStyle w:val="Heading3"/>
      </w:pPr>
      <w:r>
        <w:t>Provocare bonus</w:t>
      </w:r>
    </w:p>
    <w:p>
      <w:pPr>
        <w:spacing w:after="120"/>
      </w:pPr>
      <w:r>
        <w:rPr>
          <w:b w:val="0"/>
          <w:i w:val="0"/>
          <w:sz w:val="22"/>
        </w:rPr>
        <w:t>Implementați debounce hardware (condensator) și debounce software (temporizare în cod) pentru buton și comparați robustețea celor două soluții.</w:t>
      </w:r>
    </w:p>
    <w:p>
      <w:r>
        <w:br w:type="page"/>
      </w:r>
    </w:p>
    <w:p>
      <w:pPr>
        <w:pStyle w:val="Heading1"/>
      </w:pPr>
      <w:r>
        <w:t>Laboratorul 4 — Monitor de energie în timp real</w:t>
      </w:r>
    </w:p>
    <w:p>
      <w:pPr>
        <w:spacing w:after="120"/>
      </w:pPr>
      <w:r>
        <w:rPr>
          <w:b w:val="0"/>
          <w:i/>
          <w:color w:val="555555"/>
          <w:sz w:val="21"/>
        </w:rPr>
        <w:t>Capitol asociat: Capitolul 4 — Consumul de energie în sistemele embedded</w:t>
      </w:r>
    </w:p>
    <w:p>
      <w:pPr>
        <w:spacing w:before="80" w:after="200"/>
        <w:pBdr>
          <w:bottom w:val="single" w:sz="6" w:space="1" w:color="B0B0B0"/>
        </w:pBdr>
      </w:pPr>
    </w:p>
    <w:p>
      <w:pPr>
        <w:pStyle w:val="Heading3"/>
      </w:pPr>
      <w:r>
        <w:t>Obiective</w:t>
      </w:r>
    </w:p>
    <w:p>
      <w:pPr>
        <w:pStyle w:val="ListBullet"/>
        <w:spacing w:after="60"/>
      </w:pPr>
      <w:r>
        <w:rPr>
          <w:sz w:val="22"/>
        </w:rPr>
        <w:t>Măsurarea directă a puterii/energiei consumate de un sistem încorporat real</w:t>
      </w:r>
    </w:p>
    <w:p>
      <w:pPr>
        <w:pStyle w:val="ListBullet"/>
        <w:spacing w:after="60"/>
      </w:pPr>
      <w:r>
        <w:rPr>
          <w:sz w:val="22"/>
        </w:rPr>
        <w:t>Diferențierea consumului static și dinamic prin observație experimentală</w:t>
      </w:r>
    </w:p>
    <w:p>
      <w:pPr>
        <w:pStyle w:val="Heading3"/>
      </w:pPr>
      <w:r>
        <w:t>Context teoretic</w:t>
      </w:r>
    </w:p>
    <w:p>
      <w:pPr>
        <w:spacing w:after="120"/>
      </w:pPr>
      <w:r>
        <w:rPr>
          <w:b w:val="0"/>
          <w:i w:val="0"/>
          <w:sz w:val="22"/>
        </w:rPr>
        <w:t>Capitolul 4 introduce relația fundamentală P = V·I, precum și componentele statice (scurgeri de curent) și dinamice (comutare) ale consumului. Pi 5 expune telemetrie internă (tensiune, frecvență, temperatură) prin vcgencmd, iar un modul extern de măsură a puterii (dacă disponibil) oferă valori reale de curent/tensiune consumate, transformând formulele din carte în date măsurate.</w:t>
      </w:r>
    </w:p>
    <w:p>
      <w:pPr>
        <w:pStyle w:val="Heading3"/>
      </w:pPr>
      <w:r>
        <w:t>Materiale necesare</w:t>
      </w:r>
    </w:p>
    <w:p>
      <w:pPr>
        <w:pStyle w:val="ListBullet"/>
        <w:spacing w:after="60"/>
      </w:pPr>
      <w:r>
        <w:rPr>
          <w:sz w:val="22"/>
        </w:rPr>
        <w:t>Raspberry Pi 5</w:t>
      </w:r>
    </w:p>
    <w:p>
      <w:pPr>
        <w:pStyle w:val="ListBullet"/>
        <w:spacing w:after="60"/>
      </w:pPr>
      <w:r>
        <w:rPr>
          <w:sz w:val="22"/>
        </w:rPr>
        <w:t>LCD</w:t>
      </w:r>
    </w:p>
    <w:p>
      <w:pPr>
        <w:pStyle w:val="ListBullet"/>
        <w:spacing w:after="60"/>
      </w:pPr>
      <w:r>
        <w:rPr>
          <w:sz w:val="22"/>
        </w:rPr>
        <w:t>opțional: modul de măsură a puterii USB-C (INA219 sau echivalent)</w:t>
      </w:r>
    </w:p>
    <w:p>
      <w:pPr>
        <w:pStyle w:val="Heading3"/>
      </w:pPr>
      <w:r>
        <w:t>Sarcini de lucru</w:t>
      </w:r>
    </w:p>
    <w:p>
      <w:pPr>
        <w:spacing w:after="60"/>
        <w:ind w:left="357" w:hanging="357"/>
      </w:pPr>
      <w:r>
        <w:rPr>
          <w:sz w:val="22"/>
        </w:rPr>
        <w:t>1.</w:t>
        <w:tab/>
      </w:r>
      <w:r>
        <w:rPr>
          <w:sz w:val="22"/>
        </w:rPr>
        <w:t>Explorați telemetria internă: vcgencmd measure_volts, vcgencmd measure_clock, vcgencmd get_throttled.</w:t>
      </w:r>
    </w:p>
    <w:p>
      <w:pPr>
        <w:spacing w:after="60"/>
        <w:ind w:left="357" w:hanging="357"/>
      </w:pPr>
      <w:r>
        <w:rPr>
          <w:sz w:val="22"/>
        </w:rPr>
        <w:t>2.</w:t>
        <w:tab/>
      </w:r>
      <w:r>
        <w:rPr>
          <w:sz w:val="22"/>
        </w:rPr>
        <w:t>Dacă aveți modulul de măsură a puterii: conectați-l în serie pe alimentarea Pi 5 și citiți curent/tensiune reale.</w:t>
      </w:r>
    </w:p>
    <w:p>
      <w:pPr>
        <w:spacing w:after="60"/>
        <w:ind w:left="357" w:hanging="357"/>
      </w:pPr>
      <w:r>
        <w:rPr>
          <w:sz w:val="22"/>
        </w:rPr>
        <w:t>3.</w:t>
        <w:tab/>
      </w:r>
      <w:r>
        <w:rPr>
          <w:sz w:val="22"/>
        </w:rPr>
        <w:t>Construiți un "dashboard energetic" pe LCD: putere estimată/măsurată (W), frecvență curentă, temperatură — actualizat live.</w:t>
      </w:r>
    </w:p>
    <w:p>
      <w:pPr>
        <w:spacing w:after="60"/>
        <w:ind w:left="357" w:hanging="357"/>
      </w:pPr>
      <w:r>
        <w:rPr>
          <w:sz w:val="22"/>
        </w:rPr>
        <w:t>4.</w:t>
        <w:tab/>
      </w:r>
      <w:r>
        <w:rPr>
          <w:sz w:val="22"/>
        </w:rPr>
        <w:t>Comparați consumul în idle vs. sub sarcină maximă (stress-ng --cpu 4) și calculați energia totală consumată (integrarea P în timp) pentru un interval fix (ex. 60 s).</w:t>
      </w:r>
    </w:p>
    <w:p>
      <w:pPr>
        <w:spacing w:after="60"/>
        <w:ind w:left="357" w:hanging="357"/>
      </w:pPr>
      <w:r>
        <w:rPr>
          <w:sz w:val="22"/>
        </w:rPr>
        <w:t>5.</w:t>
        <w:tab/>
      </w:r>
      <w:r>
        <w:rPr>
          <w:sz w:val="22"/>
        </w:rPr>
        <w:t>Discutați în raport componentele statice vs. dinamice observate indirect prin variația consumului cu frecvența și temperatura.</w:t>
      </w:r>
    </w:p>
    <w:p>
      <w:pPr>
        <w:pStyle w:val="Heading3"/>
      </w:pPr>
      <w:r>
        <w:t>Livrabile</w:t>
      </w:r>
    </w:p>
    <w:p>
      <w:pPr>
        <w:pStyle w:val="ListBullet"/>
        <w:spacing w:after="60"/>
      </w:pPr>
      <w:r>
        <w:rPr>
          <w:sz w:val="22"/>
        </w:rPr>
        <w:t>Cod sursă dashboard LCD</w:t>
      </w:r>
    </w:p>
    <w:p>
      <w:pPr>
        <w:pStyle w:val="ListBullet"/>
        <w:spacing w:after="60"/>
      </w:pPr>
      <w:r>
        <w:rPr>
          <w:sz w:val="22"/>
        </w:rPr>
        <w:t>Grafic putere-timp pentru cele două scenarii (idle/sarcină)</w:t>
      </w:r>
    </w:p>
    <w:p>
      <w:pPr>
        <w:pStyle w:val="ListBullet"/>
        <w:spacing w:after="60"/>
      </w:pPr>
      <w:r>
        <w:rPr>
          <w:sz w:val="22"/>
        </w:rPr>
        <w:t>Calculul energiei totale + discuție static vs. dinamic</w:t>
      </w:r>
    </w:p>
    <w:p>
      <w:pPr>
        <w:pStyle w:val="Heading3"/>
      </w:pPr>
      <w:r>
        <w:t>Criterii de evaluare specifice</w:t>
      </w:r>
    </w:p>
    <w:p>
      <w:pPr>
        <w:pStyle w:val="ListBullet"/>
        <w:spacing w:after="60"/>
      </w:pPr>
      <w:r>
        <w:rPr>
          <w:sz w:val="22"/>
        </w:rPr>
        <w:t>Dashboard-ul afișează date corecte și actualizate</w:t>
      </w:r>
    </w:p>
    <w:p>
      <w:pPr>
        <w:pStyle w:val="ListBullet"/>
        <w:spacing w:after="60"/>
      </w:pPr>
      <w:r>
        <w:rPr>
          <w:sz w:val="22"/>
        </w:rPr>
        <w:t>Calculul energetic este corect din punct de vedere dimensional</w:t>
      </w:r>
    </w:p>
    <w:p>
      <w:pPr>
        <w:pStyle w:val="ListBullet"/>
        <w:spacing w:after="60"/>
      </w:pPr>
      <w:r>
        <w:rPr>
          <w:sz w:val="22"/>
        </w:rPr>
        <w:t>Interpretare corectă static vs. dinamic</w:t>
      </w:r>
    </w:p>
    <w:p>
      <w:pPr>
        <w:pStyle w:val="Heading3"/>
      </w:pPr>
      <w:r>
        <w:t>Provocare bonus</w:t>
      </w:r>
    </w:p>
    <w:p>
      <w:pPr>
        <w:spacing w:after="120"/>
      </w:pPr>
      <w:r>
        <w:rPr>
          <w:b w:val="0"/>
          <w:i w:val="0"/>
          <w:sz w:val="22"/>
        </w:rPr>
        <w:t>Corelați consumul măsurat cu frecvența CPU citită din sysfs, pe un interval în care frecvența variază liber (guvernator implicit), și trasați P în funcție de f.</w:t>
      </w:r>
    </w:p>
    <w:p>
      <w:pPr>
        <w:spacing w:after="120"/>
      </w:pPr>
      <w:r>
        <w:rPr>
          <w:b w:val="0"/>
          <w:i/>
          <w:color w:val="555555"/>
          <w:sz w:val="20"/>
        </w:rPr>
        <w:t>Dacă modulul extern de măsură a puterii nu este disponibil, laboratorul se realizează exclusiv cu date interne (vcgencmd + /sys/class/thermal), menționând explicit în raport limitările unei măsurători software față de una hardware directă.</w:t>
      </w:r>
    </w:p>
    <w:p>
      <w:r>
        <w:br w:type="page"/>
      </w:r>
    </w:p>
    <w:p>
      <w:pPr>
        <w:pStyle w:val="Heading1"/>
      </w:pPr>
      <w:r>
        <w:t>Laboratorul 5 — Guvernator DVFS: performanță vs. energie</w:t>
      </w:r>
    </w:p>
    <w:p>
      <w:pPr>
        <w:spacing w:after="120"/>
      </w:pPr>
      <w:r>
        <w:rPr>
          <w:b w:val="0"/>
          <w:i/>
          <w:color w:val="555555"/>
          <w:sz w:val="21"/>
        </w:rPr>
        <w:t>Capitol asociat: Capitolul 5 — Tehnici de optimizare a consumului energetic</w:t>
      </w:r>
    </w:p>
    <w:p>
      <w:pPr>
        <w:spacing w:before="80" w:after="200"/>
        <w:pBdr>
          <w:bottom w:val="single" w:sz="6" w:space="1" w:color="B0B0B0"/>
        </w:pBdr>
      </w:pPr>
    </w:p>
    <w:p>
      <w:pPr>
        <w:pStyle w:val="Heading3"/>
      </w:pPr>
      <w:r>
        <w:t>Obiective</w:t>
      </w:r>
    </w:p>
    <w:p>
      <w:pPr>
        <w:pStyle w:val="ListBullet"/>
        <w:spacing w:after="60"/>
      </w:pPr>
      <w:r>
        <w:rPr>
          <w:sz w:val="22"/>
        </w:rPr>
        <w:t>Experimentare directă cu DVFS (Dynamic Voltage and Frequency Scaling) prin guvernatoarele Linux cpufreq</w:t>
      </w:r>
    </w:p>
    <w:p>
      <w:pPr>
        <w:pStyle w:val="ListBullet"/>
        <w:spacing w:after="60"/>
      </w:pPr>
      <w:r>
        <w:rPr>
          <w:sz w:val="22"/>
        </w:rPr>
        <w:t>Cuantificarea compromisului performanță-energie pentru diverse strategii</w:t>
      </w:r>
    </w:p>
    <w:p>
      <w:pPr>
        <w:pStyle w:val="Heading3"/>
      </w:pPr>
      <w:r>
        <w:t>Context teoretic</w:t>
      </w:r>
    </w:p>
    <w:p>
      <w:pPr>
        <w:spacing w:after="120"/>
      </w:pPr>
      <w:r>
        <w:rPr>
          <w:b w:val="0"/>
          <w:i w:val="0"/>
          <w:sz w:val="22"/>
        </w:rPr>
        <w:t>Capitolul 5 tratează DVFS, clock gating și power gating ca tehnici hardware/software de reducere a consumului. Linux expune DVFS real prin subsistemul cpufreq, cu guvernatoare precum performance, powersave, ondemand și schedutil — o implementare industrială reală a exact conceptelor discutate în carte.</w:t>
      </w:r>
    </w:p>
    <w:p>
      <w:pPr>
        <w:pStyle w:val="Heading3"/>
      </w:pPr>
      <w:r>
        <w:t>Materiale necesare</w:t>
      </w:r>
    </w:p>
    <w:p>
      <w:pPr>
        <w:pStyle w:val="ListBullet"/>
        <w:spacing w:after="60"/>
      </w:pPr>
      <w:r>
        <w:rPr>
          <w:sz w:val="22"/>
        </w:rPr>
        <w:t>Raspberry Pi 5</w:t>
      </w:r>
    </w:p>
    <w:p>
      <w:pPr>
        <w:pStyle w:val="ListBullet"/>
        <w:spacing w:after="60"/>
      </w:pPr>
      <w:r>
        <w:rPr>
          <w:sz w:val="22"/>
        </w:rPr>
        <w:t>LCD</w:t>
      </w:r>
    </w:p>
    <w:p>
      <w:pPr>
        <w:pStyle w:val="ListBullet"/>
        <w:spacing w:after="60"/>
      </w:pPr>
      <w:r>
        <w:rPr>
          <w:sz w:val="22"/>
        </w:rPr>
        <w:t>opțional: setup-ul de măsură a puterii din Lab. 4</w:t>
      </w:r>
    </w:p>
    <w:p>
      <w:pPr>
        <w:pStyle w:val="Heading3"/>
      </w:pPr>
      <w:r>
        <w:t>Sarcini de lucru</w:t>
      </w:r>
    </w:p>
    <w:p>
      <w:pPr>
        <w:spacing w:after="60"/>
        <w:ind w:left="357" w:hanging="357"/>
      </w:pPr>
      <w:r>
        <w:rPr>
          <w:sz w:val="22"/>
        </w:rPr>
        <w:t>1.</w:t>
        <w:tab/>
      </w:r>
      <w:r>
        <w:rPr>
          <w:sz w:val="22"/>
        </w:rPr>
        <w:t>Listați guvernatoarele disponibile: cat /sys/devices/system/cpu/cpu0/cpufreq/scaling_available_governors.</w:t>
      </w:r>
    </w:p>
    <w:p>
      <w:pPr>
        <w:spacing w:after="60"/>
        <w:ind w:left="357" w:hanging="357"/>
      </w:pPr>
      <w:r>
        <w:rPr>
          <w:sz w:val="22"/>
        </w:rPr>
        <w:t>2.</w:t>
        <w:tab/>
      </w:r>
      <w:r>
        <w:rPr>
          <w:sz w:val="22"/>
        </w:rPr>
        <w:t>Rulați un benchmark identic (ex. calcul numere prime sau sysbench) sub fiecare guvernator, măsurând timp de execuție și, dacă disponibil, consum (din Lab. 4).</w:t>
      </w:r>
    </w:p>
    <w:p>
      <w:pPr>
        <w:spacing w:after="60"/>
        <w:ind w:left="357" w:hanging="357"/>
      </w:pPr>
      <w:r>
        <w:rPr>
          <w:sz w:val="22"/>
        </w:rPr>
        <w:t>3.</w:t>
        <w:tab/>
      </w:r>
      <w:r>
        <w:rPr>
          <w:sz w:val="22"/>
        </w:rPr>
        <w:t>Construiți un tabel comparativ: guvernator vs. timp execuție vs. energie totală vs. frecvență medie.</w:t>
      </w:r>
    </w:p>
    <w:p>
      <w:pPr>
        <w:spacing w:after="60"/>
        <w:ind w:left="357" w:hanging="357"/>
      </w:pPr>
      <w:r>
        <w:rPr>
          <w:sz w:val="22"/>
        </w:rPr>
        <w:t>4.</w:t>
        <w:tab/>
      </w:r>
      <w:r>
        <w:rPr>
          <w:sz w:val="22"/>
        </w:rPr>
        <w:t>Implementați un mic utilitar (C sau Python) care comută manual frecvența CPU (guvernator "userspace" + scaling_setspeed) și afișează frecvența curentă live pe LCD.</w:t>
      </w:r>
    </w:p>
    <w:p>
      <w:pPr>
        <w:spacing w:after="60"/>
        <w:ind w:left="357" w:hanging="357"/>
      </w:pPr>
      <w:r>
        <w:rPr>
          <w:sz w:val="22"/>
        </w:rPr>
        <w:t>5.</w:t>
        <w:tab/>
      </w:r>
      <w:r>
        <w:rPr>
          <w:sz w:val="22"/>
        </w:rPr>
        <w:t>Identificați și justificați guvernatorul optim pentru: (a) o sarcină scurtă, sensibilă la latență; (b) o sarcină lungă, sensibilă la energie.</w:t>
      </w:r>
    </w:p>
    <w:p>
      <w:pPr>
        <w:pStyle w:val="Heading3"/>
      </w:pPr>
      <w:r>
        <w:t>Livrabile</w:t>
      </w:r>
    </w:p>
    <w:p>
      <w:pPr>
        <w:pStyle w:val="ListBullet"/>
        <w:spacing w:after="60"/>
      </w:pPr>
      <w:r>
        <w:rPr>
          <w:sz w:val="22"/>
        </w:rPr>
        <w:t>Tabelul comparativ complet pe guvernatoare</w:t>
      </w:r>
    </w:p>
    <w:p>
      <w:pPr>
        <w:pStyle w:val="ListBullet"/>
        <w:spacing w:after="60"/>
      </w:pPr>
      <w:r>
        <w:rPr>
          <w:sz w:val="22"/>
        </w:rPr>
        <w:t>Cod utilitar de comutare manuală a frecvenței</w:t>
      </w:r>
    </w:p>
    <w:p>
      <w:pPr>
        <w:pStyle w:val="ListBullet"/>
        <w:spacing w:after="60"/>
      </w:pPr>
      <w:r>
        <w:rPr>
          <w:sz w:val="22"/>
        </w:rPr>
        <w:t>Recomandarea justificată pentru cele două scenarii</w:t>
      </w:r>
    </w:p>
    <w:p>
      <w:pPr>
        <w:pStyle w:val="Heading3"/>
      </w:pPr>
      <w:r>
        <w:t>Criterii de evaluare specifice</w:t>
      </w:r>
    </w:p>
    <w:p>
      <w:pPr>
        <w:pStyle w:val="ListBullet"/>
        <w:spacing w:after="60"/>
      </w:pPr>
      <w:r>
        <w:rPr>
          <w:sz w:val="22"/>
        </w:rPr>
        <w:t>Tabelul comparativ este complet și corect</w:t>
      </w:r>
    </w:p>
    <w:p>
      <w:pPr>
        <w:pStyle w:val="ListBullet"/>
        <w:spacing w:after="60"/>
      </w:pPr>
      <w:r>
        <w:rPr>
          <w:sz w:val="22"/>
        </w:rPr>
        <w:t>Utilitarul de comutare a frecvenței funcționează</w:t>
      </w:r>
    </w:p>
    <w:p>
      <w:pPr>
        <w:pStyle w:val="ListBullet"/>
        <w:spacing w:after="60"/>
      </w:pPr>
      <w:r>
        <w:rPr>
          <w:sz w:val="22"/>
        </w:rPr>
        <w:t>Recomandarea este justificată cu date</w:t>
      </w:r>
    </w:p>
    <w:p>
      <w:pPr>
        <w:pStyle w:val="Heading3"/>
      </w:pPr>
      <w:r>
        <w:t>Provocare bonus</w:t>
      </w:r>
    </w:p>
    <w:p>
      <w:pPr>
        <w:spacing w:after="120"/>
      </w:pPr>
      <w:r>
        <w:rPr>
          <w:b w:val="0"/>
          <w:i w:val="0"/>
          <w:sz w:val="22"/>
        </w:rPr>
        <w:t>Implementați un guvernator simplificat propriu (tip schedutil), bazat pe utilizarea CPU citită din /proc/stat, care ajustează frecvența la interval fix.</w:t>
      </w:r>
    </w:p>
    <w:p>
      <w:r>
        <w:br w:type="page"/>
      </w:r>
    </w:p>
    <w:p>
      <w:pPr>
        <w:pStyle w:val="Heading1"/>
      </w:pPr>
      <w:r>
        <w:t>Laboratorul 6 — Aplicație eco-mode</w:t>
      </w:r>
    </w:p>
    <w:p>
      <w:pPr>
        <w:spacing w:after="120"/>
      </w:pPr>
      <w:r>
        <w:rPr>
          <w:b w:val="0"/>
          <w:i/>
          <w:color w:val="555555"/>
          <w:sz w:val="21"/>
        </w:rPr>
        <w:t>Capitol asociat: Capitolul 6 — Software power management</w:t>
      </w:r>
    </w:p>
    <w:p>
      <w:pPr>
        <w:spacing w:before="80" w:after="200"/>
        <w:pBdr>
          <w:bottom w:val="single" w:sz="6" w:space="1" w:color="B0B0B0"/>
        </w:pBdr>
      </w:pPr>
    </w:p>
    <w:p>
      <w:pPr>
        <w:pStyle w:val="Heading3"/>
      </w:pPr>
      <w:r>
        <w:t>Obiective</w:t>
      </w:r>
    </w:p>
    <w:p>
      <w:pPr>
        <w:pStyle w:val="ListBullet"/>
        <w:spacing w:after="60"/>
      </w:pPr>
      <w:r>
        <w:rPr>
          <w:sz w:val="22"/>
        </w:rPr>
        <w:t>Aplicarea unor tehnici software concrete de reducere a consumului energetic</w:t>
      </w:r>
    </w:p>
    <w:p>
      <w:pPr>
        <w:pStyle w:val="ListBullet"/>
        <w:spacing w:after="60"/>
      </w:pPr>
      <w:r>
        <w:rPr>
          <w:sz w:val="22"/>
        </w:rPr>
        <w:t>Cuantificarea economiei de energie obținute prin optimizări la nivel de aplicație</w:t>
      </w:r>
    </w:p>
    <w:p>
      <w:pPr>
        <w:pStyle w:val="Heading3"/>
      </w:pPr>
      <w:r>
        <w:t>Context teoretic</w:t>
      </w:r>
    </w:p>
    <w:p>
      <w:pPr>
        <w:spacing w:after="120"/>
      </w:pPr>
      <w:r>
        <w:rPr>
          <w:b w:val="0"/>
          <w:i w:val="0"/>
          <w:sz w:val="22"/>
        </w:rPr>
        <w:t>Capitolul 6 discută tehnici software de management energetic: polling vs. execuție bazată pe evenimente, duty cycling și strategia "race-to-idle" (procesare rapidă urmată de repaus lung, în locul unei procesări lente continue). Acest laborator le aplică direct asupra aplicației LCD construite în laboratoarele anterioare.</w:t>
      </w:r>
    </w:p>
    <w:p>
      <w:pPr>
        <w:pStyle w:val="Heading3"/>
      </w:pPr>
      <w:r>
        <w:t>Materiale necesare</w:t>
      </w:r>
    </w:p>
    <w:p>
      <w:pPr>
        <w:pStyle w:val="ListBullet"/>
        <w:spacing w:after="60"/>
      </w:pPr>
      <w:r>
        <w:rPr>
          <w:sz w:val="22"/>
        </w:rPr>
        <w:t>Raspberry Pi 5</w:t>
      </w:r>
    </w:p>
    <w:p>
      <w:pPr>
        <w:pStyle w:val="ListBullet"/>
        <w:spacing w:after="60"/>
      </w:pPr>
      <w:r>
        <w:rPr>
          <w:sz w:val="22"/>
        </w:rPr>
        <w:t>LCD</w:t>
      </w:r>
    </w:p>
    <w:p>
      <w:pPr>
        <w:pStyle w:val="ListBullet"/>
        <w:spacing w:after="60"/>
      </w:pPr>
      <w:r>
        <w:rPr>
          <w:sz w:val="22"/>
        </w:rPr>
        <w:t>buton (reutilizat din laboratoarele anterioare)</w:t>
      </w:r>
    </w:p>
    <w:p>
      <w:pPr>
        <w:pStyle w:val="Heading3"/>
      </w:pPr>
      <w:r>
        <w:t>Sarcini de lucru</w:t>
      </w:r>
    </w:p>
    <w:p>
      <w:pPr>
        <w:spacing w:after="60"/>
        <w:ind w:left="357" w:hanging="357"/>
      </w:pPr>
      <w:r>
        <w:rPr>
          <w:sz w:val="22"/>
        </w:rPr>
        <w:t>1.</w:t>
        <w:tab/>
      </w:r>
      <w:r>
        <w:rPr>
          <w:sz w:val="22"/>
        </w:rPr>
        <w:t>Porniți de la dashboard-ul LCD din Lab. 1/4 și implementați două variante: (a) polling continuu, într-o buclă fără pauză; (b) actualizare bazată pe evenimente, cu repaus (sleep) între citiri.</w:t>
      </w:r>
    </w:p>
    <w:p>
      <w:pPr>
        <w:spacing w:after="60"/>
        <w:ind w:left="357" w:hanging="357"/>
      </w:pPr>
      <w:r>
        <w:rPr>
          <w:sz w:val="22"/>
        </w:rPr>
        <w:t>2.</w:t>
        <w:tab/>
      </w:r>
      <w:r>
        <w:rPr>
          <w:sz w:val="22"/>
        </w:rPr>
        <w:t>Măsurați utilizarea CPU (top/mpstat) și consumul energetic (din Lab. 4/5) pentru fiecare variantă.</w:t>
      </w:r>
    </w:p>
    <w:p>
      <w:pPr>
        <w:spacing w:after="60"/>
        <w:ind w:left="357" w:hanging="357"/>
      </w:pPr>
      <w:r>
        <w:rPr>
          <w:sz w:val="22"/>
        </w:rPr>
        <w:t>3.</w:t>
        <w:tab/>
      </w:r>
      <w:r>
        <w:rPr>
          <w:sz w:val="22"/>
        </w:rPr>
        <w:t>Implementați un "mod eco": reduceți frecvența de refresh a LCD-ului și frecvența CPU (folosind guvernatoarele din Lab. 5) când nu există interacțiune într-un interval dat.</w:t>
      </w:r>
    </w:p>
    <w:p>
      <w:pPr>
        <w:spacing w:after="60"/>
        <w:ind w:left="357" w:hanging="357"/>
      </w:pPr>
      <w:r>
        <w:rPr>
          <w:sz w:val="22"/>
        </w:rPr>
        <w:t>4.</w:t>
        <w:tab/>
      </w:r>
      <w:r>
        <w:rPr>
          <w:sz w:val="22"/>
        </w:rPr>
        <w:t>Comparați strategia "race-to-idle" (procesare rapidă, apoi repaus lung) cu procesarea lentă continuă, pentru aceeași sarcină totală de lucru.</w:t>
      </w:r>
    </w:p>
    <w:p>
      <w:pPr>
        <w:spacing w:after="60"/>
        <w:ind w:left="357" w:hanging="357"/>
      </w:pPr>
      <w:r>
        <w:rPr>
          <w:sz w:val="22"/>
        </w:rPr>
        <w:t>5.</w:t>
        <w:tab/>
      </w:r>
      <w:r>
        <w:rPr>
          <w:sz w:val="22"/>
        </w:rPr>
        <w:t>Cuantificați în raport procentul de economie de energie obținut prin optimizările aplicate.</w:t>
      </w:r>
    </w:p>
    <w:p>
      <w:pPr>
        <w:pStyle w:val="Heading3"/>
      </w:pPr>
      <w:r>
        <w:t>Livrabile</w:t>
      </w:r>
    </w:p>
    <w:p>
      <w:pPr>
        <w:pStyle w:val="ListBullet"/>
        <w:spacing w:after="60"/>
      </w:pPr>
      <w:r>
        <w:rPr>
          <w:sz w:val="22"/>
        </w:rPr>
        <w:t>Codul sursă al celor 2-3 variante implementate</w:t>
      </w:r>
    </w:p>
    <w:p>
      <w:pPr>
        <w:pStyle w:val="ListBullet"/>
        <w:spacing w:after="60"/>
      </w:pPr>
      <w:r>
        <w:rPr>
          <w:sz w:val="22"/>
        </w:rPr>
        <w:t>Tabel comparativ al consumului per variantă</w:t>
      </w:r>
    </w:p>
    <w:p>
      <w:pPr>
        <w:pStyle w:val="ListBullet"/>
        <w:spacing w:after="60"/>
      </w:pPr>
      <w:r>
        <w:rPr>
          <w:sz w:val="22"/>
        </w:rPr>
        <w:t>Discuția trade-off latență de răspuns vs. energie</w:t>
      </w:r>
    </w:p>
    <w:p>
      <w:pPr>
        <w:pStyle w:val="Heading3"/>
      </w:pPr>
      <w:r>
        <w:t>Criterii de evaluare specifice</w:t>
      </w:r>
    </w:p>
    <w:p>
      <w:pPr>
        <w:pStyle w:val="ListBullet"/>
        <w:spacing w:after="60"/>
      </w:pPr>
      <w:r>
        <w:rPr>
          <w:sz w:val="22"/>
        </w:rPr>
        <w:t>Toate variantele funcționează corect</w:t>
      </w:r>
    </w:p>
    <w:p>
      <w:pPr>
        <w:pStyle w:val="ListBullet"/>
        <w:spacing w:after="60"/>
      </w:pPr>
      <w:r>
        <w:rPr>
          <w:sz w:val="22"/>
        </w:rPr>
        <w:t>Economia de energie este cuantificată cu date reale</w:t>
      </w:r>
    </w:p>
    <w:p>
      <w:pPr>
        <w:pStyle w:val="ListBullet"/>
        <w:spacing w:after="60"/>
      </w:pPr>
      <w:r>
        <w:rPr>
          <w:sz w:val="22"/>
        </w:rPr>
        <w:t>Discuția trade-off este coerentă</w:t>
      </w:r>
    </w:p>
    <w:p>
      <w:pPr>
        <w:pStyle w:val="Heading3"/>
      </w:pPr>
      <w:r>
        <w:t>Provocare bonus</w:t>
      </w:r>
    </w:p>
    <w:p>
      <w:pPr>
        <w:spacing w:after="120"/>
      </w:pPr>
      <w:r>
        <w:rPr>
          <w:b w:val="0"/>
          <w:i w:val="0"/>
          <w:sz w:val="22"/>
        </w:rPr>
        <w:t>Implementați un adevărat "wake-on-interrupt": procesul intră în stare de așteptare blocantă (nu polling) și este trezit exclusiv de întreruperea GPIO a butonului.</w:t>
      </w:r>
    </w:p>
    <w:p>
      <w:r>
        <w:br w:type="page"/>
      </w:r>
    </w:p>
    <w:p>
      <w:pPr>
        <w:pStyle w:val="Heading1"/>
      </w:pPr>
      <w:r>
        <w:t>Laboratorul 7 — Planificare în timp real și inversiune de prioritate</w:t>
      </w:r>
    </w:p>
    <w:p>
      <w:pPr>
        <w:spacing w:after="120"/>
      </w:pPr>
      <w:r>
        <w:rPr>
          <w:b w:val="0"/>
          <w:i/>
          <w:color w:val="555555"/>
          <w:sz w:val="21"/>
        </w:rPr>
        <w:t>Capitol asociat: Capitolul 7 — Execuție, planificare și RTOS-uri pentru sisteme embedded</w:t>
      </w:r>
    </w:p>
    <w:p>
      <w:pPr>
        <w:spacing w:before="80" w:after="200"/>
        <w:pBdr>
          <w:bottom w:val="single" w:sz="6" w:space="1" w:color="B0B0B0"/>
        </w:pBdr>
      </w:pPr>
    </w:p>
    <w:p>
      <w:pPr>
        <w:pStyle w:val="Heading3"/>
      </w:pPr>
      <w:r>
        <w:t>Obiective</w:t>
      </w:r>
    </w:p>
    <w:p>
      <w:pPr>
        <w:pStyle w:val="ListBullet"/>
        <w:spacing w:after="60"/>
      </w:pPr>
      <w:r>
        <w:rPr>
          <w:sz w:val="22"/>
        </w:rPr>
        <w:t>Înțelegerea practică a planificării cu priorități în timp real</w:t>
      </w:r>
    </w:p>
    <w:p>
      <w:pPr>
        <w:pStyle w:val="ListBullet"/>
        <w:spacing w:after="60"/>
      </w:pPr>
      <w:r>
        <w:rPr>
          <w:sz w:val="22"/>
        </w:rPr>
        <w:t>Reproducerea și rezolvarea fenomenului de inversiune de prioritate</w:t>
      </w:r>
    </w:p>
    <w:p>
      <w:pPr>
        <w:pStyle w:val="Heading3"/>
      </w:pPr>
      <w:r>
        <w:t>Context teoretic</w:t>
      </w:r>
    </w:p>
    <w:p>
      <w:pPr>
        <w:spacing w:after="120"/>
      </w:pPr>
      <w:r>
        <w:rPr>
          <w:b w:val="0"/>
          <w:i w:val="0"/>
          <w:sz w:val="22"/>
        </w:rPr>
        <w:t>Capitolul 7 (părțile A și B) discută modele de execuție, planificare rate-monotonic, sincronizare și problema inversiunii de prioritate, rezolvată prin protocolul de moștenire de prioritate (priority inheritance). Linux, prin pthread și clasele de planificare SCHED_FIFO/SCHED_RR, permite reproducerea exactă a acestor fenomene, iar kernelul PREEMPT_RT (menționat și în bibliografia manualului) extinde aceleași garanții la nivelul întregului sistem de operare.</w:t>
      </w:r>
    </w:p>
    <w:p>
      <w:pPr>
        <w:pStyle w:val="Heading3"/>
      </w:pPr>
      <w:r>
        <w:t>Materiale necesare</w:t>
      </w:r>
    </w:p>
    <w:p>
      <w:pPr>
        <w:pStyle w:val="ListBullet"/>
        <w:spacing w:after="60"/>
      </w:pPr>
      <w:r>
        <w:rPr>
          <w:sz w:val="22"/>
        </w:rPr>
        <w:t>Raspberry Pi 5</w:t>
      </w:r>
    </w:p>
    <w:p>
      <w:pPr>
        <w:pStyle w:val="ListBullet"/>
        <w:spacing w:after="60"/>
      </w:pPr>
      <w:r>
        <w:rPr>
          <w:sz w:val="22"/>
        </w:rPr>
        <w:t>LCD</w:t>
      </w:r>
    </w:p>
    <w:p>
      <w:pPr>
        <w:pStyle w:val="ListBullet"/>
        <w:spacing w:after="60"/>
      </w:pPr>
      <w:r>
        <w:rPr>
          <w:sz w:val="22"/>
        </w:rPr>
        <w:t>buton, LED</w:t>
      </w:r>
    </w:p>
    <w:p>
      <w:pPr>
        <w:pStyle w:val="Heading3"/>
      </w:pPr>
      <w:r>
        <w:t>Sarcini de lucru</w:t>
      </w:r>
    </w:p>
    <w:p>
      <w:pPr>
        <w:spacing w:after="60"/>
        <w:ind w:left="357" w:hanging="357"/>
      </w:pPr>
      <w:r>
        <w:rPr>
          <w:sz w:val="22"/>
        </w:rPr>
        <w:t>1.</w:t>
        <w:tab/>
      </w:r>
      <w:r>
        <w:rPr>
          <w:sz w:val="22"/>
        </w:rPr>
        <w:t>Implementați trei fire de execuție POSIX periodice: citire buton (prioritate înaltă), actualizare LCD (prioritate medie), scriere log în fișier (prioritate joasă), folosind pthread_setschedparam cu SCHED_FIFO.</w:t>
      </w:r>
    </w:p>
    <w:p>
      <w:pPr>
        <w:spacing w:after="60"/>
        <w:ind w:left="357" w:hanging="357"/>
      </w:pPr>
      <w:r>
        <w:rPr>
          <w:sz w:val="22"/>
        </w:rPr>
        <w:t>2.</w:t>
        <w:tab/>
      </w:r>
      <w:r>
        <w:rPr>
          <w:sz w:val="22"/>
        </w:rPr>
        <w:t>Măsurați jitter-ul/latența firului de prioritate înaltă sub sarcină și comparați cu planificarea implicită SCHED_OTHER.</w:t>
      </w:r>
    </w:p>
    <w:p>
      <w:pPr>
        <w:spacing w:after="60"/>
        <w:ind w:left="357" w:hanging="357"/>
      </w:pPr>
      <w:r>
        <w:rPr>
          <w:sz w:val="22"/>
        </w:rPr>
        <w:t>3.</w:t>
        <w:tab/>
      </w:r>
      <w:r>
        <w:rPr>
          <w:sz w:val="22"/>
        </w:rPr>
        <w:t>Provocați deliberat inversiunea de prioritate: firul de prioritate joasă reține un mutex mult timp, firul de prioritate înaltă se blochează pe același mutex, iar firul de prioritate medie rulează liber — observați întârzierea suferită de firul de prioritate înaltă.</w:t>
      </w:r>
    </w:p>
    <w:p>
      <w:pPr>
        <w:spacing w:after="60"/>
        <w:ind w:left="357" w:hanging="357"/>
      </w:pPr>
      <w:r>
        <w:rPr>
          <w:sz w:val="22"/>
        </w:rPr>
        <w:t>4.</w:t>
        <w:tab/>
      </w:r>
      <w:r>
        <w:rPr>
          <w:sz w:val="22"/>
        </w:rPr>
        <w:t>Rezolvați folosind protocolul de moștenire de prioritate (pthread_mutexattr_setprotocol cu PTHREAD_PRIO_INHERIT) și repetați experimentul.</w:t>
      </w:r>
    </w:p>
    <w:p>
      <w:pPr>
        <w:spacing w:after="60"/>
        <w:ind w:left="357" w:hanging="357"/>
      </w:pPr>
      <w:r>
        <w:rPr>
          <w:sz w:val="22"/>
        </w:rPr>
        <w:t>5.</w:t>
        <w:tab/>
      </w:r>
      <w:r>
        <w:rPr>
          <w:sz w:val="22"/>
        </w:rPr>
        <w:t>Discutați, opțional, cum kernelul PREEMPT_RT ar extinde aceste garanții la nivelul întregului sistem.</w:t>
      </w:r>
    </w:p>
    <w:p>
      <w:pPr>
        <w:pStyle w:val="Heading3"/>
      </w:pPr>
      <w:r>
        <w:t>Livrabile</w:t>
      </w:r>
    </w:p>
    <w:p>
      <w:pPr>
        <w:pStyle w:val="ListBullet"/>
        <w:spacing w:after="60"/>
      </w:pPr>
      <w:r>
        <w:rPr>
          <w:sz w:val="22"/>
        </w:rPr>
        <w:t>Codul sursă al celor trei fire + experimentul de inversiune de prioritate</w:t>
      </w:r>
    </w:p>
    <w:p>
      <w:pPr>
        <w:pStyle w:val="ListBullet"/>
        <w:spacing w:after="60"/>
      </w:pPr>
      <w:r>
        <w:rPr>
          <w:sz w:val="22"/>
        </w:rPr>
        <w:t>Grafice de latență: cu/fără inversiune, cu/fără moștenire de prioritate</w:t>
      </w:r>
    </w:p>
    <w:p>
      <w:pPr>
        <w:pStyle w:val="ListBullet"/>
        <w:spacing w:after="60"/>
      </w:pPr>
      <w:r>
        <w:rPr>
          <w:sz w:val="22"/>
        </w:rPr>
        <w:t>Discuție conectată explicit la teoria din Cap. 7</w:t>
      </w:r>
    </w:p>
    <w:p>
      <w:pPr>
        <w:pStyle w:val="Heading3"/>
      </w:pPr>
      <w:r>
        <w:t>Criterii de evaluare specifice</w:t>
      </w:r>
    </w:p>
    <w:p>
      <w:pPr>
        <w:pStyle w:val="ListBullet"/>
        <w:spacing w:after="60"/>
      </w:pPr>
      <w:r>
        <w:rPr>
          <w:sz w:val="22"/>
        </w:rPr>
        <w:t>Inversiunea de prioritate este reprodusă și documentată clar</w:t>
      </w:r>
    </w:p>
    <w:p>
      <w:pPr>
        <w:pStyle w:val="ListBullet"/>
        <w:spacing w:after="60"/>
      </w:pPr>
      <w:r>
        <w:rPr>
          <w:sz w:val="22"/>
        </w:rPr>
        <w:t>Rezolvarea prin moștenire de prioritate elimină/reduce măsurabil întârzierea</w:t>
      </w:r>
    </w:p>
    <w:p>
      <w:pPr>
        <w:pStyle w:val="ListBullet"/>
        <w:spacing w:after="60"/>
      </w:pPr>
      <w:r>
        <w:rPr>
          <w:sz w:val="22"/>
        </w:rPr>
        <w:t>Interpretare corectă a graficelor de latență</w:t>
      </w:r>
    </w:p>
    <w:p>
      <w:pPr>
        <w:pStyle w:val="Heading3"/>
      </w:pPr>
      <w:r>
        <w:t>Provocare bonus</w:t>
      </w:r>
    </w:p>
    <w:p>
      <w:pPr>
        <w:spacing w:after="120"/>
      </w:pPr>
      <w:r>
        <w:rPr>
          <w:b w:val="0"/>
          <w:i w:val="0"/>
          <w:sz w:val="22"/>
        </w:rPr>
        <w:t>Instalați (sau testați pe o imagine deja pregătită) un kernel cu patch-ul PREEMPT_RT și comparați jitter-ul măsurat față de kernelul standard.</w:t>
      </w:r>
    </w:p>
    <w:p>
      <w:r>
        <w:br w:type="page"/>
      </w:r>
    </w:p>
    <w:p>
      <w:pPr>
        <w:pStyle w:val="Heading1"/>
      </w:pPr>
      <w:r>
        <w:t>Laboratorul 8 — Accelerare hardware: NEON vs. cod scalar</w:t>
      </w:r>
    </w:p>
    <w:p>
      <w:pPr>
        <w:spacing w:after="120"/>
      </w:pPr>
      <w:r>
        <w:rPr>
          <w:b w:val="0"/>
          <w:i/>
          <w:color w:val="555555"/>
          <w:sz w:val="21"/>
        </w:rPr>
        <w:t>Capitol asociat: Capitolul 8 — Sisteme reconfigurabile și accelerare hardware</w:t>
      </w:r>
    </w:p>
    <w:p>
      <w:pPr>
        <w:spacing w:before="80" w:after="200"/>
        <w:pBdr>
          <w:bottom w:val="single" w:sz="6" w:space="1" w:color="B0B0B0"/>
        </w:pBdr>
      </w:pPr>
    </w:p>
    <w:p>
      <w:pPr>
        <w:pStyle w:val="Heading3"/>
      </w:pPr>
      <w:r>
        <w:t>Obiective</w:t>
      </w:r>
    </w:p>
    <w:p>
      <w:pPr>
        <w:pStyle w:val="ListBullet"/>
        <w:spacing w:after="60"/>
      </w:pPr>
      <w:r>
        <w:rPr>
          <w:sz w:val="22"/>
        </w:rPr>
        <w:t>Înțelegerea conceptului de accelerare hardware printr-un exemplu direct disponibil pe Pi 5</w:t>
      </w:r>
    </w:p>
    <w:p>
      <w:pPr>
        <w:pStyle w:val="ListBullet"/>
        <w:spacing w:after="60"/>
      </w:pPr>
      <w:r>
        <w:rPr>
          <w:sz w:val="22"/>
        </w:rPr>
        <w:t>Compararea paralelismului la nivel de instrucțiune (SIMD) cu execuția scalară</w:t>
      </w:r>
    </w:p>
    <w:p>
      <w:pPr>
        <w:pStyle w:val="Heading3"/>
      </w:pPr>
      <w:r>
        <w:t>Context teoretic</w:t>
      </w:r>
    </w:p>
    <w:p>
      <w:pPr>
        <w:spacing w:after="120"/>
      </w:pPr>
      <w:r>
        <w:rPr>
          <w:b w:val="0"/>
          <w:i w:val="0"/>
          <w:sz w:val="22"/>
        </w:rPr>
        <w:t>Capitolul 8 discută sistemele reconfigurabile (FPGA) și accelerarea hardware. Pi 5 nu dispune de o unitate FPGA, dar procesorul său ARM include extensia vectorială NEON — o formă reală, direct accesibilă, de accelerare hardware prin paralelism la nivel de instrucțiune (SIMD), potrivită pentru a introduce conceptul înainte de a discuta paralelismul spațial oferit de un FPGA.</w:t>
      </w:r>
    </w:p>
    <w:p>
      <w:pPr>
        <w:pStyle w:val="Heading3"/>
      </w:pPr>
      <w:r>
        <w:t>Materiale necesare</w:t>
      </w:r>
    </w:p>
    <w:p>
      <w:pPr>
        <w:pStyle w:val="ListBullet"/>
        <w:spacing w:after="60"/>
      </w:pPr>
      <w:r>
        <w:rPr>
          <w:sz w:val="22"/>
        </w:rPr>
        <w:t>Raspberry Pi 5</w:t>
      </w:r>
    </w:p>
    <w:p>
      <w:pPr>
        <w:pStyle w:val="ListBullet"/>
        <w:spacing w:after="60"/>
      </w:pPr>
      <w:r>
        <w:rPr>
          <w:sz w:val="22"/>
        </w:rPr>
        <w:t>LCD (pentru afișarea rezultatului/timpilor)</w:t>
      </w:r>
    </w:p>
    <w:p>
      <w:pPr>
        <w:pStyle w:val="Heading3"/>
      </w:pPr>
      <w:r>
        <w:t>Sarcini de lucru</w:t>
      </w:r>
    </w:p>
    <w:p>
      <w:pPr>
        <w:spacing w:after="60"/>
        <w:ind w:left="357" w:hanging="357"/>
      </w:pPr>
      <w:r>
        <w:rPr>
          <w:sz w:val="22"/>
        </w:rPr>
        <w:t>1.</w:t>
        <w:tab/>
      </w:r>
      <w:r>
        <w:rPr>
          <w:sz w:val="22"/>
        </w:rPr>
        <w:t>Implementați un filtru de procesare de imagine (ex. blur sau detecție de margini) în C, în varianta scalară (buclă simplă, fără vectorizare).</w:t>
      </w:r>
    </w:p>
    <w:p>
      <w:pPr>
        <w:spacing w:after="60"/>
        <w:ind w:left="357" w:hanging="357"/>
      </w:pPr>
      <w:r>
        <w:rPr>
          <w:sz w:val="22"/>
        </w:rPr>
        <w:t>2.</w:t>
        <w:tab/>
      </w:r>
      <w:r>
        <w:rPr>
          <w:sz w:val="22"/>
        </w:rPr>
        <w:t>Implementați aceeași funcție folosind intrinsics ARM NEON (sau activați auto-vectorizarea compilatorului cu -O3 -march=native) și verificați dezasamblarea pentru a confirma folosirea instrucțiunilor vectoriale.</w:t>
      </w:r>
    </w:p>
    <w:p>
      <w:pPr>
        <w:spacing w:after="60"/>
        <w:ind w:left="357" w:hanging="357"/>
      </w:pPr>
      <w:r>
        <w:rPr>
          <w:sz w:val="22"/>
        </w:rPr>
        <w:t>3.</w:t>
        <w:tab/>
      </w:r>
      <w:r>
        <w:rPr>
          <w:sz w:val="22"/>
        </w:rPr>
        <w:t>Comparați timpul de execuție și throughput-ul (pixeli/secundă) între cele două variante; afișați imaginea procesată și timpii pe LCD.</w:t>
      </w:r>
    </w:p>
    <w:p>
      <w:pPr>
        <w:spacing w:after="60"/>
        <w:ind w:left="357" w:hanging="357"/>
      </w:pPr>
      <w:r>
        <w:rPr>
          <w:sz w:val="22"/>
        </w:rPr>
        <w:t>4.</w:t>
        <w:tab/>
      </w:r>
      <w:r>
        <w:rPr>
          <w:sz w:val="22"/>
        </w:rPr>
        <w:t>Discutați similitudinile și diferențele dintre paralelismul SIMD (NEON) și paralelismul spațial oferit de un FPGA, ca forme alternative de accelerare hardware față de execuția pe un CPU generic.</w:t>
      </w:r>
    </w:p>
    <w:p>
      <w:pPr>
        <w:spacing w:after="60"/>
        <w:ind w:left="357" w:hanging="357"/>
      </w:pPr>
      <w:r>
        <w:rPr>
          <w:sz w:val="22"/>
        </w:rPr>
        <w:t>5.</w:t>
        <w:tab/>
      </w:r>
      <w:r>
        <w:rPr>
          <w:sz w:val="22"/>
        </w:rPr>
        <w:t>Descrieți conceptual cum ar aborda un FPGA aceeași problemă (pipeline hardware dedicat), pe baza conceptelor din Cap. 8.</w:t>
      </w:r>
    </w:p>
    <w:p>
      <w:pPr>
        <w:pStyle w:val="Heading3"/>
      </w:pPr>
      <w:r>
        <w:t>Livrabile</w:t>
      </w:r>
    </w:p>
    <w:p>
      <w:pPr>
        <w:pStyle w:val="ListBullet"/>
        <w:spacing w:after="60"/>
      </w:pPr>
      <w:r>
        <w:rPr>
          <w:sz w:val="22"/>
        </w:rPr>
        <w:t>Codul sursă al ambelor variante (scalară și NEON)</w:t>
      </w:r>
    </w:p>
    <w:p>
      <w:pPr>
        <w:pStyle w:val="ListBullet"/>
        <w:spacing w:after="60"/>
      </w:pPr>
      <w:r>
        <w:rPr>
          <w:sz w:val="22"/>
        </w:rPr>
        <w:t>Tabel comparativ de performanță (speedup obținut)</w:t>
      </w:r>
    </w:p>
    <w:p>
      <w:pPr>
        <w:pStyle w:val="ListBullet"/>
        <w:spacing w:after="60"/>
      </w:pPr>
      <w:r>
        <w:rPr>
          <w:sz w:val="22"/>
        </w:rPr>
        <w:t>Imaginea procesată + discuția conceptuală SIMD vs. FPGA</w:t>
      </w:r>
    </w:p>
    <w:p>
      <w:pPr>
        <w:pStyle w:val="Heading3"/>
      </w:pPr>
      <w:r>
        <w:t>Criterii de evaluare specifice</w:t>
      </w:r>
    </w:p>
    <w:p>
      <w:pPr>
        <w:pStyle w:val="ListBullet"/>
        <w:spacing w:after="60"/>
      </w:pPr>
      <w:r>
        <w:rPr>
          <w:sz w:val="22"/>
        </w:rPr>
        <w:t>Ambele implementări produc rezultate identice (corectitudine)</w:t>
      </w:r>
    </w:p>
    <w:p>
      <w:pPr>
        <w:pStyle w:val="ListBullet"/>
        <w:spacing w:after="60"/>
      </w:pPr>
      <w:r>
        <w:rPr>
          <w:sz w:val="22"/>
        </w:rPr>
        <w:t>Speedup-ul este măsurat corect</w:t>
      </w:r>
    </w:p>
    <w:p>
      <w:pPr>
        <w:pStyle w:val="ListBullet"/>
        <w:spacing w:after="60"/>
      </w:pPr>
      <w:r>
        <w:rPr>
          <w:sz w:val="22"/>
        </w:rPr>
        <w:t>Discuția conceptuală SIMD vs. FPGA este coerentă</w:t>
      </w:r>
    </w:p>
    <w:p>
      <w:pPr>
        <w:pStyle w:val="Heading3"/>
      </w:pPr>
      <w:r>
        <w:t>Provocare bonus</w:t>
      </w:r>
    </w:p>
    <w:p>
      <w:pPr>
        <w:spacing w:after="120"/>
      </w:pPr>
      <w:r>
        <w:rPr>
          <w:b w:val="0"/>
          <w:i w:val="0"/>
          <w:sz w:val="22"/>
        </w:rPr>
        <w:t>Dacă aveți acces la o placă de dezvoltare FPGA externă, implementați conceptual aceeași operație de filtrare în HDL și comparați arhitectural cele două abordări.</w:t>
      </w:r>
    </w:p>
    <w:p>
      <w:r>
        <w:br w:type="page"/>
      </w:r>
    </w:p>
    <w:p>
      <w:pPr>
        <w:pStyle w:val="Heading1"/>
      </w:pPr>
      <w:r>
        <w:t>Laboratorul 9 — Nod alimentat din energie recoltată</w:t>
      </w:r>
    </w:p>
    <w:p>
      <w:pPr>
        <w:spacing w:after="120"/>
      </w:pPr>
      <w:r>
        <w:rPr>
          <w:b w:val="0"/>
          <w:i/>
          <w:color w:val="555555"/>
          <w:sz w:val="21"/>
        </w:rPr>
        <w:t>Capitol asociat: Capitolul 9 — Energy harvesting și sisteme autonome energetic</w:t>
      </w:r>
    </w:p>
    <w:p>
      <w:pPr>
        <w:spacing w:before="80" w:after="200"/>
        <w:pBdr>
          <w:bottom w:val="single" w:sz="6" w:space="1" w:color="B0B0B0"/>
        </w:pBdr>
      </w:pPr>
    </w:p>
    <w:p>
      <w:pPr>
        <w:pStyle w:val="Heading3"/>
      </w:pPr>
      <w:r>
        <w:t>Obiective</w:t>
      </w:r>
    </w:p>
    <w:p>
      <w:pPr>
        <w:pStyle w:val="ListBullet"/>
        <w:spacing w:after="60"/>
      </w:pPr>
      <w:r>
        <w:rPr>
          <w:sz w:val="22"/>
        </w:rPr>
        <w:t>Contact direct cu un circuit real de energy harvesting</w:t>
      </w:r>
    </w:p>
    <w:p>
      <w:pPr>
        <w:pStyle w:val="ListBullet"/>
        <w:spacing w:after="60"/>
      </w:pPr>
      <w:r>
        <w:rPr>
          <w:sz w:val="22"/>
        </w:rPr>
        <w:t>Înțelegerea rolului Pi 5 ca hub de achiziție de date, nu ca dispozitiv alimentat din sursa recoltată</w:t>
      </w:r>
    </w:p>
    <w:p>
      <w:pPr>
        <w:pStyle w:val="Heading3"/>
      </w:pPr>
      <w:r>
        <w:t>Context teoretic</w:t>
      </w:r>
    </w:p>
    <w:p>
      <w:pPr>
        <w:spacing w:after="120"/>
      </w:pPr>
      <w:r>
        <w:rPr>
          <w:b w:val="0"/>
          <w:i w:val="0"/>
          <w:sz w:val="22"/>
        </w:rPr>
        <w:t>Capitolul 9 discută surse de energy harvesting (solară, RF, vibrații), stocarea (supercondensator/baterie) și managementul energetic al nodurilor autonome. Puterea tipic recoltabilă la scară mică (mW) este suficientă pentru un microcontroler cu consum redus, dar nu pentru Pi 5 (câțiva wați). De aceea, în acest laborator Pi 5 joacă rolul de instrument de măsură/logging al unui circuit de harvesting real, alimentând un consumator separat de mică putere — o distincție discutată explicit în raport.</w:t>
      </w:r>
    </w:p>
    <w:p>
      <w:pPr>
        <w:pStyle w:val="Heading3"/>
      </w:pPr>
      <w:r>
        <w:t>Materiale necesare</w:t>
      </w:r>
    </w:p>
    <w:p>
      <w:pPr>
        <w:pStyle w:val="ListBullet"/>
        <w:spacing w:after="60"/>
      </w:pPr>
      <w:r>
        <w:rPr>
          <w:sz w:val="22"/>
        </w:rPr>
        <w:t>Raspberry Pi 5</w:t>
      </w:r>
    </w:p>
    <w:p>
      <w:pPr>
        <w:pStyle w:val="ListBullet"/>
        <w:spacing w:after="60"/>
      </w:pPr>
      <w:r>
        <w:rPr>
          <w:sz w:val="22"/>
        </w:rPr>
        <w:t>LCD</w:t>
      </w:r>
    </w:p>
    <w:p>
      <w:pPr>
        <w:pStyle w:val="ListBullet"/>
        <w:spacing w:after="60"/>
      </w:pPr>
      <w:r>
        <w:rPr>
          <w:sz w:val="22"/>
        </w:rPr>
        <w:t>modul ADC I2C ADS1115</w:t>
      </w:r>
    </w:p>
    <w:p>
      <w:pPr>
        <w:pStyle w:val="ListBullet"/>
        <w:spacing w:after="60"/>
      </w:pPr>
      <w:r>
        <w:rPr>
          <w:sz w:val="22"/>
        </w:rPr>
        <w:t>panou solar mic + supercondensator (sau baterie reîncărcabilă mică)</w:t>
      </w:r>
    </w:p>
    <w:p>
      <w:pPr>
        <w:pStyle w:val="ListBullet"/>
        <w:spacing w:after="60"/>
      </w:pPr>
      <w:r>
        <w:rPr>
          <w:sz w:val="22"/>
        </w:rPr>
        <w:t>LED de mică putere</w:t>
      </w:r>
    </w:p>
    <w:p>
      <w:pPr>
        <w:pStyle w:val="Heading3"/>
      </w:pPr>
      <w:r>
        <w:t>Sarcini de lucru</w:t>
      </w:r>
    </w:p>
    <w:p>
      <w:pPr>
        <w:spacing w:after="60"/>
        <w:ind w:left="357" w:hanging="357"/>
      </w:pPr>
      <w:r>
        <w:rPr>
          <w:sz w:val="22"/>
        </w:rPr>
        <w:t>1.</w:t>
        <w:tab/>
      </w:r>
      <w:r>
        <w:rPr>
          <w:sz w:val="22"/>
        </w:rPr>
        <w:t>Construiți circuitul: panou solar → diodă → supercondensator → LED de mică putere.</w:t>
      </w:r>
    </w:p>
    <w:p>
      <w:pPr>
        <w:spacing w:after="60"/>
        <w:ind w:left="357" w:hanging="357"/>
      </w:pPr>
      <w:r>
        <w:rPr>
          <w:sz w:val="22"/>
        </w:rPr>
        <w:t>2.</w:t>
        <w:tab/>
      </w:r>
      <w:r>
        <w:rPr>
          <w:sz w:val="22"/>
        </w:rPr>
        <w:t>Conectați modulul ADS1115 la Pi 5 prin I2C pentru citirea tensiunii de pe supercondensator.</w:t>
      </w:r>
    </w:p>
    <w:p>
      <w:pPr>
        <w:spacing w:after="60"/>
        <w:ind w:left="357" w:hanging="357"/>
      </w:pPr>
      <w:r>
        <w:rPr>
          <w:sz w:val="22"/>
        </w:rPr>
        <w:t>3.</w:t>
        <w:tab/>
      </w:r>
      <w:r>
        <w:rPr>
          <w:sz w:val="22"/>
        </w:rPr>
        <w:t>Scrieți un program care citește periodic tensiunea și afișează pe LCD, live, curba de încărcare/descărcare.</w:t>
      </w:r>
    </w:p>
    <w:p>
      <w:pPr>
        <w:spacing w:after="60"/>
        <w:ind w:left="357" w:hanging="357"/>
      </w:pPr>
      <w:r>
        <w:rPr>
          <w:sz w:val="22"/>
        </w:rPr>
        <w:t>4.</w:t>
        <w:tab/>
      </w:r>
      <w:r>
        <w:rPr>
          <w:sz w:val="22"/>
        </w:rPr>
        <w:t>Experimentați: acoperiți/descoperiți panoul solar și observați rata de încărcare; conectați/deconectați LED-ul și observați rata de descărcare.</w:t>
      </w:r>
    </w:p>
    <w:p>
      <w:pPr>
        <w:spacing w:after="60"/>
        <w:ind w:left="357" w:hanging="357"/>
      </w:pPr>
      <w:r>
        <w:rPr>
          <w:sz w:val="22"/>
        </w:rPr>
        <w:t>5.</w:t>
        <w:tab/>
      </w:r>
      <w:r>
        <w:rPr>
          <w:sz w:val="22"/>
        </w:rPr>
        <w:t>Calculați energia stocată în supercondensator (E = ½·C·V²) și discutați autonomia posibilă pentru un dispozitiv de foarte mică putere alimentat astfel.</w:t>
      </w:r>
    </w:p>
    <w:p>
      <w:pPr>
        <w:spacing w:after="60"/>
        <w:ind w:left="357" w:hanging="357"/>
      </w:pPr>
      <w:r>
        <w:rPr>
          <w:sz w:val="22"/>
        </w:rPr>
        <w:t>6.</w:t>
        <w:tab/>
      </w:r>
      <w:r>
        <w:rPr>
          <w:sz w:val="22"/>
        </w:rPr>
        <w:t>În raport, explicați explicit de ce Pi 5 însuși (consum de ordinul waților) nu poate fi alimentat realist prin energy harvesting la această scară, spre deosebire de un nod cu microcontroler (consum de ordinul μW–mW).</w:t>
      </w:r>
    </w:p>
    <w:p>
      <w:pPr>
        <w:pStyle w:val="Heading3"/>
      </w:pPr>
      <w:r>
        <w:t>Livrabile</w:t>
      </w:r>
    </w:p>
    <w:p>
      <w:pPr>
        <w:pStyle w:val="ListBullet"/>
        <w:spacing w:after="60"/>
      </w:pPr>
      <w:r>
        <w:rPr>
          <w:sz w:val="22"/>
        </w:rPr>
        <w:t>Schema circuitului</w:t>
      </w:r>
    </w:p>
    <w:p>
      <w:pPr>
        <w:pStyle w:val="ListBullet"/>
        <w:spacing w:after="60"/>
      </w:pPr>
      <w:r>
        <w:rPr>
          <w:sz w:val="22"/>
        </w:rPr>
        <w:t>Graficul tensiunii de încărcare/descărcare</w:t>
      </w:r>
    </w:p>
    <w:p>
      <w:pPr>
        <w:pStyle w:val="ListBullet"/>
        <w:spacing w:after="60"/>
      </w:pPr>
      <w:r>
        <w:rPr>
          <w:sz w:val="22"/>
        </w:rPr>
        <w:t>Calculul energiei stocate</w:t>
      </w:r>
    </w:p>
    <w:p>
      <w:pPr>
        <w:pStyle w:val="ListBullet"/>
        <w:spacing w:after="60"/>
      </w:pPr>
      <w:r>
        <w:rPr>
          <w:sz w:val="22"/>
        </w:rPr>
        <w:t>Discuția despre autonomie și limitele scalării la Pi 5</w:t>
      </w:r>
    </w:p>
    <w:p>
      <w:pPr>
        <w:pStyle w:val="Heading3"/>
      </w:pPr>
      <w:r>
        <w:t>Criterii de evaluare specifice</w:t>
      </w:r>
    </w:p>
    <w:p>
      <w:pPr>
        <w:pStyle w:val="ListBullet"/>
        <w:spacing w:after="60"/>
      </w:pPr>
      <w:r>
        <w:rPr>
          <w:sz w:val="22"/>
        </w:rPr>
        <w:t>Circuitul funcționează și produce date coerente</w:t>
      </w:r>
    </w:p>
    <w:p>
      <w:pPr>
        <w:pStyle w:val="ListBullet"/>
        <w:spacing w:after="60"/>
      </w:pPr>
      <w:r>
        <w:rPr>
          <w:sz w:val="22"/>
        </w:rPr>
        <w:t>Calculul energetic este corect</w:t>
      </w:r>
    </w:p>
    <w:p>
      <w:pPr>
        <w:pStyle w:val="ListBullet"/>
        <w:spacing w:after="60"/>
      </w:pPr>
      <w:r>
        <w:rPr>
          <w:sz w:val="22"/>
        </w:rPr>
        <w:t>Discuția despre mismatch-ul de putere Pi 5 vs. nod harvesting este clară</w:t>
      </w:r>
    </w:p>
    <w:p>
      <w:pPr>
        <w:pStyle w:val="Heading3"/>
      </w:pPr>
      <w:r>
        <w:t>Provocare bonus</w:t>
      </w:r>
    </w:p>
    <w:p>
      <w:pPr>
        <w:spacing w:after="120"/>
      </w:pPr>
      <w:r>
        <w:rPr>
          <w:b w:val="0"/>
          <w:i w:val="0"/>
          <w:sz w:val="22"/>
        </w:rPr>
        <w:t>Adăugați un al doilea consumator (senzor de mică putere) și implementați o simplă strategie de duty-cycling: consumatorul pornește doar când tensiunea depășește un prag.</w:t>
      </w:r>
    </w:p>
    <w:p>
      <w:pPr>
        <w:spacing w:after="120"/>
      </w:pPr>
      <w:r>
        <w:rPr>
          <w:b w:val="0"/>
          <w:i/>
          <w:color w:val="555555"/>
          <w:sz w:val="20"/>
        </w:rPr>
        <w:t>Dacă modulul ADS1115 sau panoul solar nu sunt disponibile, laboratorul poate fi parcurs folosind o sursă de tensiune variabilă controlată manual, care simulează ciclul de încărcare/descărcare — se menționează explicit în raport.</w:t>
      </w:r>
    </w:p>
    <w:p>
      <w:r>
        <w:br w:type="page"/>
      </w:r>
    </w:p>
    <w:p>
      <w:pPr>
        <w:pStyle w:val="Heading1"/>
      </w:pPr>
      <w:r>
        <w:t>Laboratorul 10 — Nod IoT complet: de la senzor la cloud</w:t>
      </w:r>
    </w:p>
    <w:p>
      <w:pPr>
        <w:spacing w:after="120"/>
      </w:pPr>
      <w:r>
        <w:rPr>
          <w:b w:val="0"/>
          <w:i/>
          <w:color w:val="555555"/>
          <w:sz w:val="21"/>
        </w:rPr>
        <w:t>Capitol asociat: Capitolul 10 — Internet of Things și rețele de dispozitive inteligente</w:t>
      </w:r>
    </w:p>
    <w:p>
      <w:pPr>
        <w:spacing w:before="80" w:after="200"/>
        <w:pBdr>
          <w:bottom w:val="single" w:sz="6" w:space="1" w:color="B0B0B0"/>
        </w:pBdr>
      </w:pPr>
    </w:p>
    <w:p>
      <w:pPr>
        <w:pStyle w:val="Heading3"/>
      </w:pPr>
      <w:r>
        <w:t>Obiective</w:t>
      </w:r>
    </w:p>
    <w:p>
      <w:pPr>
        <w:pStyle w:val="ListBullet"/>
        <w:spacing w:after="60"/>
      </w:pPr>
      <w:r>
        <w:rPr>
          <w:sz w:val="22"/>
        </w:rPr>
        <w:t>Integrarea completă a competențelor acumulate într-un proiect capstone</w:t>
      </w:r>
    </w:p>
    <w:p>
      <w:pPr>
        <w:pStyle w:val="ListBullet"/>
        <w:spacing w:after="60"/>
      </w:pPr>
      <w:r>
        <w:rPr>
          <w:sz w:val="22"/>
        </w:rPr>
        <w:t>Contact practic cu un protocol IoT real (MQTT) și cu arhitectura nod-gateway-cloud</w:t>
      </w:r>
    </w:p>
    <w:p>
      <w:pPr>
        <w:pStyle w:val="Heading3"/>
      </w:pPr>
      <w:r>
        <w:t>Context teoretic</w:t>
      </w:r>
    </w:p>
    <w:p>
      <w:pPr>
        <w:spacing w:after="120"/>
      </w:pPr>
      <w:r>
        <w:rPr>
          <w:b w:val="0"/>
          <w:i w:val="0"/>
          <w:sz w:val="22"/>
        </w:rPr>
        <w:t>Capitolul 10 discută protocoalele IoT (MQTT, CoAP) și arhitecturile tipice nod-gateway-cloud. Acest laborator, ultimul din serie, integrează elemente din laboratoarele anterioare (GPIO, LCD, măsurarea energiei) într-un mic sistem de monitorizare embedded complet, publicat printr-un broker MQTT.</w:t>
      </w:r>
    </w:p>
    <w:p>
      <w:pPr>
        <w:pStyle w:val="Heading3"/>
      </w:pPr>
      <w:r>
        <w:t>Materiale necesare</w:t>
      </w:r>
    </w:p>
    <w:p>
      <w:pPr>
        <w:pStyle w:val="ListBullet"/>
        <w:spacing w:after="60"/>
      </w:pPr>
      <w:r>
        <w:rPr>
          <w:sz w:val="22"/>
        </w:rPr>
        <w:t>Raspberry Pi 5</w:t>
      </w:r>
    </w:p>
    <w:p>
      <w:pPr>
        <w:pStyle w:val="ListBullet"/>
        <w:spacing w:after="60"/>
      </w:pPr>
      <w:r>
        <w:rPr>
          <w:sz w:val="22"/>
        </w:rPr>
        <w:t>LCD</w:t>
      </w:r>
    </w:p>
    <w:p>
      <w:pPr>
        <w:pStyle w:val="ListBullet"/>
        <w:spacing w:after="60"/>
      </w:pPr>
      <w:r>
        <w:rPr>
          <w:sz w:val="22"/>
        </w:rPr>
        <w:t>senzor I2C (ex. BME280) sau reutilizarea ADS1115 din Lab. 9</w:t>
      </w:r>
    </w:p>
    <w:p>
      <w:pPr>
        <w:pStyle w:val="ListBullet"/>
        <w:spacing w:after="60"/>
      </w:pPr>
      <w:r>
        <w:rPr>
          <w:sz w:val="22"/>
        </w:rPr>
        <w:t>broker MQTT (mosquitto, local)</w:t>
      </w:r>
    </w:p>
    <w:p>
      <w:pPr>
        <w:pStyle w:val="Heading3"/>
      </w:pPr>
      <w:r>
        <w:t>Sarcini de lucru</w:t>
      </w:r>
    </w:p>
    <w:p>
      <w:pPr>
        <w:spacing w:after="60"/>
        <w:ind w:left="357" w:hanging="357"/>
      </w:pPr>
      <w:r>
        <w:rPr>
          <w:sz w:val="22"/>
        </w:rPr>
        <w:t>1.</w:t>
        <w:tab/>
      </w:r>
      <w:r>
        <w:rPr>
          <w:sz w:val="22"/>
        </w:rPr>
        <w:t>Instalați și configurați un broker MQTT local (mosquitto) pe Pi 5.</w:t>
      </w:r>
    </w:p>
    <w:p>
      <w:pPr>
        <w:spacing w:after="60"/>
        <w:ind w:left="357" w:hanging="357"/>
      </w:pPr>
      <w:r>
        <w:rPr>
          <w:sz w:val="22"/>
        </w:rPr>
        <w:t>2.</w:t>
        <w:tab/>
      </w:r>
      <w:r>
        <w:rPr>
          <w:sz w:val="22"/>
        </w:rPr>
        <w:t>Citiți periodic date de la senzor (sau reutilizați datele din Lab. 9) și publicați-le pe un topic MQTT (ex. lab/senzor/temperatura).</w:t>
      </w:r>
    </w:p>
    <w:p>
      <w:pPr>
        <w:spacing w:after="60"/>
        <w:ind w:left="357" w:hanging="357"/>
      </w:pPr>
      <w:r>
        <w:rPr>
          <w:sz w:val="22"/>
        </w:rPr>
        <w:t>3.</w:t>
        <w:tab/>
      </w:r>
      <w:r>
        <w:rPr>
          <w:sz w:val="22"/>
        </w:rPr>
        <w:t>Implementați un client subscriber (pe alt terminal/dispozitiv) care afișează datele primite; afișați simultan datele local, pe LCD.</w:t>
      </w:r>
    </w:p>
    <w:p>
      <w:pPr>
        <w:spacing w:after="60"/>
        <w:ind w:left="357" w:hanging="357"/>
      </w:pPr>
      <w:r>
        <w:rPr>
          <w:sz w:val="22"/>
        </w:rPr>
        <w:t>4.</w:t>
        <w:tab/>
      </w:r>
      <w:r>
        <w:rPr>
          <w:sz w:val="22"/>
        </w:rPr>
        <w:t>Adăugați un dashboard simplu (pagină web cu paho-mqtt + JavaScript, sau Node-RED) pentru vizualizarea istoricului datelor.</w:t>
      </w:r>
    </w:p>
    <w:p>
      <w:pPr>
        <w:spacing w:after="60"/>
        <w:ind w:left="357" w:hanging="357"/>
      </w:pPr>
      <w:r>
        <w:rPr>
          <w:sz w:val="22"/>
        </w:rPr>
        <w:t>5.</w:t>
        <w:tab/>
      </w:r>
      <w:r>
        <w:rPr>
          <w:sz w:val="22"/>
        </w:rPr>
        <w:t>Extindeți sistemul publicând și consumul energetic curent (din Lab. 4/5) pe un topic separat — proiectul devine un mic sistem de monitorizare embedded complet.</w:t>
      </w:r>
    </w:p>
    <w:p>
      <w:pPr>
        <w:spacing w:after="60"/>
        <w:ind w:left="357" w:hanging="357"/>
      </w:pPr>
      <w:r>
        <w:rPr>
          <w:sz w:val="22"/>
        </w:rPr>
        <w:t>6.</w:t>
        <w:tab/>
      </w:r>
      <w:r>
        <w:rPr>
          <w:sz w:val="22"/>
        </w:rPr>
        <w:t>Discutați în raport elementele de bază de securitate IoT (autentificare MQTT, TLS), în relație cu subiectele de securitate din Cap. 10.</w:t>
      </w:r>
    </w:p>
    <w:p>
      <w:pPr>
        <w:pStyle w:val="Heading3"/>
      </w:pPr>
      <w:r>
        <w:t>Livrabile</w:t>
      </w:r>
    </w:p>
    <w:p>
      <w:pPr>
        <w:pStyle w:val="ListBullet"/>
        <w:spacing w:after="60"/>
      </w:pPr>
      <w:r>
        <w:rPr>
          <w:sz w:val="22"/>
        </w:rPr>
        <w:t>Schema arhitecturii sistemului (noduri, broker, dashboard)</w:t>
      </w:r>
    </w:p>
    <w:p>
      <w:pPr>
        <w:pStyle w:val="ListBullet"/>
        <w:spacing w:after="60"/>
      </w:pPr>
      <w:r>
        <w:rPr>
          <w:sz w:val="22"/>
        </w:rPr>
        <w:t>Codul sursă publisher + subscriber</w:t>
      </w:r>
    </w:p>
    <w:p>
      <w:pPr>
        <w:pStyle w:val="ListBullet"/>
        <w:spacing w:after="60"/>
      </w:pPr>
      <w:r>
        <w:rPr>
          <w:sz w:val="22"/>
        </w:rPr>
        <w:t>Captură a dashboard-ului</w:t>
      </w:r>
    </w:p>
    <w:p>
      <w:pPr>
        <w:pStyle w:val="ListBullet"/>
        <w:spacing w:after="60"/>
      </w:pPr>
      <w:r>
        <w:rPr>
          <w:sz w:val="22"/>
        </w:rPr>
        <w:t>Discuția de securitate</w:t>
      </w:r>
    </w:p>
    <w:p>
      <w:pPr>
        <w:pStyle w:val="Heading3"/>
      </w:pPr>
      <w:r>
        <w:t>Criterii de evaluare specifice</w:t>
      </w:r>
    </w:p>
    <w:p>
      <w:pPr>
        <w:pStyle w:val="ListBullet"/>
        <w:spacing w:after="60"/>
      </w:pPr>
      <w:r>
        <w:rPr>
          <w:sz w:val="22"/>
        </w:rPr>
        <w:t>Fluxul de date senzor → MQTT → dashboard funcționează integral</w:t>
      </w:r>
    </w:p>
    <w:p>
      <w:pPr>
        <w:pStyle w:val="ListBullet"/>
        <w:spacing w:after="60"/>
      </w:pPr>
      <w:r>
        <w:rPr>
          <w:sz w:val="22"/>
        </w:rPr>
        <w:t>Integrarea cu datele energetice din laboratoarele anterioare este realizată</w:t>
      </w:r>
    </w:p>
    <w:p>
      <w:pPr>
        <w:pStyle w:val="ListBullet"/>
        <w:spacing w:after="60"/>
      </w:pPr>
      <w:r>
        <w:rPr>
          <w:sz w:val="22"/>
        </w:rPr>
        <w:t>Discuția de securitate este relevantă și corectă</w:t>
      </w:r>
    </w:p>
    <w:p>
      <w:pPr>
        <w:pStyle w:val="Heading3"/>
      </w:pPr>
      <w:r>
        <w:t>Provocare bonus</w:t>
      </w:r>
    </w:p>
    <w:p>
      <w:pPr>
        <w:spacing w:after="120"/>
      </w:pPr>
      <w:r>
        <w:rPr>
          <w:b w:val="0"/>
          <w:i w:val="0"/>
          <w:sz w:val="22"/>
        </w:rPr>
        <w:t>Adăugați o regulă de alertă (ex. notificare/actuator declanșat prin MQTT dacă temperatura depășește un prag), folosind un LED sau un buzzer ca actuator.</w:t>
      </w:r>
    </w:p>
    <w:p>
      <w:r>
        <w:br w:type="page"/>
      </w:r>
    </w:p>
    <w:p>
      <w:pPr>
        <w:pStyle w:val="Heading1"/>
      </w:pPr>
      <w:r>
        <w:t>Anexă — Programare sugerată pe semestru</w:t>
      </w:r>
    </w:p>
    <w:tbl>
      <w:tblPr>
        <w:tblStyle w:val="LightGrid-Accent1"/>
        <w:tblW w:type="auto" w:w="0"/>
        <w:tblLayout w:type="fixed"/>
        <w:tblLook w:firstColumn="1" w:firstRow="1" w:lastColumn="0" w:lastRow="0" w:noHBand="0" w:noVBand="1" w:val="04A0"/>
      </w:tblPr>
      <w:tblGrid>
        <w:gridCol w:w="2551"/>
        <w:gridCol w:w="6917"/>
      </w:tblGrid>
      <w:tr>
        <w:tc>
          <w:tcPr>
            <w:tcW w:type="dxa" w:w="2551"/>
            <w:shd w:val="clear" w:color="auto" w:fill="2E74B5"/>
          </w:tcPr>
          <w:p>
            <w:r>
              <w:rPr>
                <w:b/>
                <w:color w:val="FFFFFF"/>
              </w:rPr>
              <w:t>Săptămână</w:t>
            </w:r>
          </w:p>
        </w:tc>
        <w:tc>
          <w:tcPr>
            <w:tcW w:type="dxa" w:w="6917"/>
            <w:shd w:val="clear" w:color="auto" w:fill="2E74B5"/>
          </w:tcPr>
          <w:p>
            <w:r>
              <w:rPr>
                <w:b/>
                <w:color w:val="FFFFFF"/>
              </w:rPr>
              <w:t>Laborator</w:t>
            </w:r>
          </w:p>
        </w:tc>
      </w:tr>
      <w:tr>
        <w:tc>
          <w:tcPr>
            <w:tcW w:type="dxa" w:w="2551"/>
          </w:tcPr>
          <w:p>
            <w:r>
              <w:t>Săptămâna 1</w:t>
            </w:r>
          </w:p>
        </w:tc>
        <w:tc>
          <w:tcPr>
            <w:tcW w:type="dxa" w:w="6917"/>
          </w:tcPr>
          <w:p>
            <w:r>
              <w:t>Laboratorul 1 — Explorare arhitecturală: Pi 5 ca sistem încorporat</w:t>
            </w:r>
          </w:p>
        </w:tc>
      </w:tr>
      <w:tr>
        <w:tc>
          <w:tcPr>
            <w:tcW w:type="dxa" w:w="2551"/>
            <w:shd w:val="clear" w:color="auto" w:fill="EAF1F8"/>
          </w:tcPr>
          <w:p>
            <w:r>
              <w:t>Săptămâna 2</w:t>
            </w:r>
          </w:p>
        </w:tc>
        <w:tc>
          <w:tcPr>
            <w:tcW w:type="dxa" w:w="6917"/>
            <w:shd w:val="clear" w:color="auto" w:fill="EAF1F8"/>
          </w:tcPr>
          <w:p>
            <w:r>
              <w:t>Laboratorul 2 — Profiler de instrucțiuni ARM64</w:t>
            </w:r>
          </w:p>
        </w:tc>
      </w:tr>
      <w:tr>
        <w:tc>
          <w:tcPr>
            <w:tcW w:type="dxa" w:w="2551"/>
          </w:tcPr>
          <w:p>
            <w:r>
              <w:t>Săptămâna 3</w:t>
            </w:r>
          </w:p>
        </w:tc>
        <w:tc>
          <w:tcPr>
            <w:tcW w:type="dxa" w:w="6917"/>
          </w:tcPr>
          <w:p>
            <w:r>
              <w:t>Laboratorul 3 — Latență de întrerupere și excepții ARM</w:t>
            </w:r>
          </w:p>
        </w:tc>
      </w:tr>
      <w:tr>
        <w:tc>
          <w:tcPr>
            <w:tcW w:type="dxa" w:w="2551"/>
            <w:shd w:val="clear" w:color="auto" w:fill="EAF1F8"/>
          </w:tcPr>
          <w:p>
            <w:r>
              <w:t>Săptămâna 4</w:t>
            </w:r>
          </w:p>
        </w:tc>
        <w:tc>
          <w:tcPr>
            <w:tcW w:type="dxa" w:w="6917"/>
            <w:shd w:val="clear" w:color="auto" w:fill="EAF1F8"/>
          </w:tcPr>
          <w:p>
            <w:r>
              <w:t>Laboratorul 4 — Monitor de energie în timp real</w:t>
            </w:r>
          </w:p>
        </w:tc>
      </w:tr>
      <w:tr>
        <w:tc>
          <w:tcPr>
            <w:tcW w:type="dxa" w:w="2551"/>
          </w:tcPr>
          <w:p>
            <w:r>
              <w:t>Săptămâna 5</w:t>
            </w:r>
          </w:p>
        </w:tc>
        <w:tc>
          <w:tcPr>
            <w:tcW w:type="dxa" w:w="6917"/>
          </w:tcPr>
          <w:p>
            <w:r>
              <w:t>Laboratorul 5 — Guvernator DVFS: performanță vs. energie</w:t>
            </w:r>
          </w:p>
        </w:tc>
      </w:tr>
      <w:tr>
        <w:tc>
          <w:tcPr>
            <w:tcW w:type="dxa" w:w="2551"/>
            <w:shd w:val="clear" w:color="auto" w:fill="EAF1F8"/>
          </w:tcPr>
          <w:p>
            <w:r>
              <w:t>Săptămâna 6</w:t>
            </w:r>
          </w:p>
        </w:tc>
        <w:tc>
          <w:tcPr>
            <w:tcW w:type="dxa" w:w="6917"/>
            <w:shd w:val="clear" w:color="auto" w:fill="EAF1F8"/>
          </w:tcPr>
          <w:p>
            <w:r>
              <w:t>Laboratorul 6 — Aplicație eco-mode</w:t>
            </w:r>
          </w:p>
        </w:tc>
      </w:tr>
      <w:tr>
        <w:tc>
          <w:tcPr>
            <w:tcW w:type="dxa" w:w="2551"/>
          </w:tcPr>
          <w:p>
            <w:r>
              <w:t>Săptămâna 7</w:t>
            </w:r>
          </w:p>
        </w:tc>
        <w:tc>
          <w:tcPr>
            <w:tcW w:type="dxa" w:w="6917"/>
          </w:tcPr>
          <w:p>
            <w:r>
              <w:t>Laboratorul 7 — Planificare RT și inversiune de prioritate</w:t>
            </w:r>
          </w:p>
        </w:tc>
      </w:tr>
      <w:tr>
        <w:tc>
          <w:tcPr>
            <w:tcW w:type="dxa" w:w="2551"/>
            <w:shd w:val="clear" w:color="auto" w:fill="EAF1F8"/>
          </w:tcPr>
          <w:p>
            <w:r>
              <w:t>Săptămâna 8</w:t>
            </w:r>
          </w:p>
        </w:tc>
        <w:tc>
          <w:tcPr>
            <w:tcW w:type="dxa" w:w="6917"/>
            <w:shd w:val="clear" w:color="auto" w:fill="EAF1F8"/>
          </w:tcPr>
          <w:p>
            <w:r>
              <w:t>Laboratorul 8 — Accelerare hardware: NEON vs. cod scalar</w:t>
            </w:r>
          </w:p>
        </w:tc>
      </w:tr>
      <w:tr>
        <w:tc>
          <w:tcPr>
            <w:tcW w:type="dxa" w:w="2551"/>
          </w:tcPr>
          <w:p>
            <w:r>
              <w:t>Săptămâna 9</w:t>
            </w:r>
          </w:p>
        </w:tc>
        <w:tc>
          <w:tcPr>
            <w:tcW w:type="dxa" w:w="6917"/>
          </w:tcPr>
          <w:p>
            <w:r>
              <w:t>Laboratorul 9 — Nod alimentat din energie recoltată</w:t>
            </w:r>
          </w:p>
        </w:tc>
      </w:tr>
      <w:tr>
        <w:tc>
          <w:tcPr>
            <w:tcW w:type="dxa" w:w="2551"/>
            <w:shd w:val="clear" w:color="auto" w:fill="EAF1F8"/>
          </w:tcPr>
          <w:p>
            <w:r>
              <w:t>Săptămâna 10</w:t>
            </w:r>
          </w:p>
        </w:tc>
        <w:tc>
          <w:tcPr>
            <w:tcW w:type="dxa" w:w="6917"/>
            <w:shd w:val="clear" w:color="auto" w:fill="EAF1F8"/>
          </w:tcPr>
          <w:p>
            <w:r>
              <w:t>Laboratorul 10 — Nod IoT complet: senzor → cloud</w:t>
            </w:r>
          </w:p>
        </w:tc>
      </w:tr>
    </w:tbl>
    <w:p>
      <w:pPr>
        <w:pStyle w:val="Heading2"/>
      </w:pPr>
      <w:r>
        <w:t>Note de siguranță</w:t>
      </w:r>
    </w:p>
    <w:p>
      <w:pPr>
        <w:pStyle w:val="ListBullet"/>
        <w:spacing w:after="60"/>
      </w:pPr>
      <w:r>
        <w:rPr>
          <w:sz w:val="22"/>
        </w:rPr>
        <w:t>Deconectați alimentarea Pi 5 înainte de a modifica montaje pe breadboard.</w:t>
      </w:r>
    </w:p>
    <w:p>
      <w:pPr>
        <w:pStyle w:val="ListBullet"/>
        <w:spacing w:after="60"/>
      </w:pPr>
      <w:r>
        <w:rPr>
          <w:sz w:val="22"/>
        </w:rPr>
        <w:t>Verificați polaritatea și valorile rezistențelor înainte de conectarea LED-urilor la GPIO.</w:t>
      </w:r>
    </w:p>
    <w:p>
      <w:pPr>
        <w:pStyle w:val="ListBullet"/>
        <w:spacing w:after="60"/>
      </w:pPr>
      <w:r>
        <w:rPr>
          <w:sz w:val="22"/>
        </w:rPr>
        <w:t>Evitați scurtcircuitarea directă a pinilor GPIO la 5V — pinii GPIO ai Pi 5 funcționează la 3,3V.</w:t>
      </w:r>
    </w:p>
    <w:p>
      <w:pPr>
        <w:pStyle w:val="ListBullet"/>
        <w:spacing w:after="60"/>
      </w:pPr>
      <w:r>
        <w:rPr>
          <w:sz w:val="22"/>
        </w:rPr>
        <w:t>La Laboratorul 9, respectați polaritatea supercondensatorului și a diodei din circuitul de harvesting.</w:t>
      </w:r>
    </w:p>
    <w:sectPr w:rsidR="00FC693F" w:rsidRPr="0006063C" w:rsidSect="00034616">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Calibri" w:hAnsi="Calibri"/>
      <w:b/>
      <w:bCs/>
      <w:color w:val="1F2A44"/>
      <w:sz w:val="40"/>
      <w:szCs w:val="28"/>
    </w:rPr>
  </w:style>
  <w:style w:type="paragraph" w:styleId="Heading2">
    <w:name w:val="heading 2"/>
    <w:basedOn w:val="Normal"/>
    <w:next w:val="Normal"/>
    <w:link w:val="Heading2Char"/>
    <w:uiPriority w:val="9"/>
    <w:unhideWhenUsed/>
    <w:qFormat/>
    <w:rsid w:val="00FC693F"/>
    <w:pPr>
      <w:keepNext/>
      <w:keepLines/>
      <w:spacing w:before="200" w:after="160"/>
      <w:outlineLvl w:val="1"/>
    </w:pPr>
    <w:rPr>
      <w:rFonts w:asciiTheme="majorHAnsi" w:eastAsiaTheme="majorEastAsia" w:hAnsiTheme="majorHAnsi" w:cstheme="majorBidi" w:ascii="Calibri" w:hAnsi="Calibri"/>
      <w:b/>
      <w:bCs/>
      <w:color w:val="2E74B5"/>
      <w:sz w:val="32"/>
      <w:szCs w:val="26"/>
    </w:rPr>
  </w:style>
  <w:style w:type="paragraph" w:styleId="Heading3">
    <w:name w:val="heading 3"/>
    <w:basedOn w:val="Normal"/>
    <w:next w:val="Normal"/>
    <w:link w:val="Heading3Char"/>
    <w:uiPriority w:val="9"/>
    <w:unhideWhenUsed/>
    <w:qFormat/>
    <w:rsid w:val="00FC693F"/>
    <w:pPr>
      <w:keepNext/>
      <w:keepLines/>
      <w:spacing w:before="200" w:after="160"/>
      <w:outlineLvl w:val="2"/>
    </w:pPr>
    <w:rPr>
      <w:rFonts w:asciiTheme="majorHAnsi" w:eastAsiaTheme="majorEastAsia" w:hAnsiTheme="majorHAnsi" w:cstheme="majorBidi" w:ascii="Calibri" w:hAnsi="Calibri"/>
      <w:b/>
      <w:bCs/>
      <w:color w:val="2E74B5"/>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